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E2C4D" w14:textId="02B799A5" w:rsidR="00F34904" w:rsidRPr="005C7597" w:rsidRDefault="00F34904" w:rsidP="00F34904">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Pr>
          <w:rFonts w:ascii="Arial" w:hAnsi="Arial" w:cs="Arial"/>
          <w:b/>
          <w:bCs/>
          <w:sz w:val="24"/>
        </w:rPr>
        <w:t xml:space="preserve"> 96</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R1-190</w:t>
      </w:r>
      <w:r w:rsidR="000F4EA2">
        <w:rPr>
          <w:rFonts w:ascii="Arial" w:hAnsi="Arial" w:cs="Arial"/>
          <w:b/>
          <w:bCs/>
          <w:sz w:val="24"/>
        </w:rPr>
        <w:t>2306</w:t>
      </w:r>
    </w:p>
    <w:p w14:paraId="76AFFEB5" w14:textId="08C6424B" w:rsidR="00A968BE" w:rsidRPr="005C7597" w:rsidRDefault="00F34904" w:rsidP="00F34904">
      <w:pPr>
        <w:tabs>
          <w:tab w:val="center" w:pos="4536"/>
          <w:tab w:val="right" w:pos="9072"/>
        </w:tabs>
        <w:spacing w:after="0" w:line="276" w:lineRule="auto"/>
        <w:rPr>
          <w:rFonts w:ascii="Arial" w:hAnsi="Arial" w:cs="Arial"/>
          <w:b/>
          <w:bCs/>
          <w:szCs w:val="24"/>
          <w:lang w:val="en-US"/>
        </w:rPr>
      </w:pPr>
      <w:r>
        <w:rPr>
          <w:rFonts w:ascii="Arial" w:eastAsia="MS Mincho" w:hAnsi="Arial" w:cs="Arial"/>
          <w:b/>
          <w:bCs/>
          <w:sz w:val="24"/>
          <w:lang w:eastAsia="ja-JP"/>
        </w:rPr>
        <w:t>Athens</w:t>
      </w:r>
      <w:r w:rsidRPr="005C7597">
        <w:rPr>
          <w:rFonts w:ascii="Arial" w:eastAsia="MS Mincho" w:hAnsi="Arial" w:cs="Arial"/>
          <w:b/>
          <w:bCs/>
          <w:sz w:val="24"/>
          <w:lang w:eastAsia="ja-JP"/>
        </w:rPr>
        <w:t xml:space="preserve">, </w:t>
      </w:r>
      <w:r>
        <w:rPr>
          <w:rFonts w:ascii="Arial" w:eastAsia="MS Mincho" w:hAnsi="Arial" w:cs="Arial"/>
          <w:b/>
          <w:bCs/>
          <w:sz w:val="24"/>
          <w:lang w:eastAsia="ja-JP"/>
        </w:rPr>
        <w:t>Greece</w:t>
      </w:r>
      <w:r w:rsidRPr="005C7597">
        <w:rPr>
          <w:rFonts w:ascii="Arial" w:eastAsia="MS Mincho" w:hAnsi="Arial" w:cs="Arial"/>
          <w:b/>
          <w:bCs/>
          <w:sz w:val="24"/>
          <w:lang w:eastAsia="ja-JP"/>
        </w:rPr>
        <w:t>, 2</w:t>
      </w:r>
      <w:r>
        <w:rPr>
          <w:rFonts w:ascii="Arial" w:eastAsia="MS Mincho" w:hAnsi="Arial" w:cs="Arial"/>
          <w:b/>
          <w:bCs/>
          <w:sz w:val="24"/>
          <w:lang w:eastAsia="ja-JP"/>
        </w:rPr>
        <w:t>5</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 xml:space="preserve">February </w:t>
      </w:r>
      <w:r w:rsidRPr="005C7597">
        <w:rPr>
          <w:rFonts w:ascii="Arial" w:eastAsia="MS Mincho" w:hAnsi="Arial" w:cs="Arial"/>
          <w:b/>
          <w:bCs/>
          <w:sz w:val="24"/>
          <w:lang w:eastAsia="ja-JP"/>
        </w:rPr>
        <w:t xml:space="preserve">– </w:t>
      </w:r>
      <w:r>
        <w:rPr>
          <w:rFonts w:ascii="Arial" w:eastAsia="MS Mincho" w:hAnsi="Arial" w:cs="Arial"/>
          <w:b/>
          <w:bCs/>
          <w:sz w:val="24"/>
          <w:lang w:eastAsia="ja-JP"/>
        </w:rPr>
        <w:t>1</w:t>
      </w:r>
      <w:r>
        <w:rPr>
          <w:rFonts w:ascii="Arial" w:eastAsia="MS Mincho" w:hAnsi="Arial" w:cs="Arial"/>
          <w:b/>
          <w:bCs/>
          <w:sz w:val="24"/>
          <w:vertAlign w:val="superscript"/>
          <w:lang w:eastAsia="ja-JP"/>
        </w:rPr>
        <w:t>st</w:t>
      </w:r>
      <w:r w:rsidRPr="005C7597">
        <w:rPr>
          <w:rFonts w:ascii="Arial" w:eastAsia="MS Mincho" w:hAnsi="Arial" w:cs="Arial"/>
          <w:b/>
          <w:bCs/>
          <w:sz w:val="24"/>
          <w:lang w:eastAsia="ja-JP"/>
        </w:rPr>
        <w:t xml:space="preserve"> </w:t>
      </w:r>
      <w:r>
        <w:rPr>
          <w:rFonts w:ascii="Arial" w:eastAsia="MS Mincho" w:hAnsi="Arial" w:cs="Arial"/>
          <w:b/>
          <w:bCs/>
          <w:sz w:val="24"/>
          <w:lang w:eastAsia="ja-JP"/>
        </w:rPr>
        <w:t>March</w:t>
      </w:r>
      <w:r w:rsidRPr="005C7597">
        <w:rPr>
          <w:rFonts w:ascii="Arial" w:eastAsia="MS Mincho" w:hAnsi="Arial" w:cs="Arial"/>
          <w:b/>
          <w:bCs/>
          <w:sz w:val="24"/>
          <w:lang w:eastAsia="ja-JP"/>
        </w:rPr>
        <w:t>, 2019</w:t>
      </w:r>
    </w:p>
    <w:p w14:paraId="3BA53984" w14:textId="77777777" w:rsidR="005C7597" w:rsidRDefault="005C7597" w:rsidP="005C7597">
      <w:pPr>
        <w:tabs>
          <w:tab w:val="left" w:pos="1985"/>
        </w:tabs>
        <w:spacing w:after="0" w:line="276" w:lineRule="auto"/>
        <w:ind w:left="2040" w:hangingChars="850" w:hanging="2040"/>
        <w:jc w:val="both"/>
        <w:rPr>
          <w:rFonts w:ascii="Arial" w:hAnsi="Arial"/>
          <w:b/>
          <w:sz w:val="24"/>
          <w:lang w:val="en-US"/>
        </w:rPr>
      </w:pPr>
    </w:p>
    <w:p w14:paraId="5E2A7ECE" w14:textId="3F159FEE"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0" w:name="Source"/>
      <w:bookmarkEnd w:id="0"/>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58555C">
        <w:rPr>
          <w:rFonts w:ascii="Arial" w:hAnsi="Arial"/>
          <w:sz w:val="24"/>
          <w:lang w:val="en-US" w:eastAsia="ko-KR"/>
        </w:rPr>
        <w:t>3</w:t>
      </w:r>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2DAC3C9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B13D80" w:rsidRPr="00E5152C">
        <w:rPr>
          <w:rFonts w:ascii="Arial" w:hAnsi="Arial"/>
          <w:sz w:val="24"/>
          <w:lang w:val="en-US"/>
        </w:rPr>
        <w:t>Enhancements on multi-beam operations</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1" w:name="DocumentFor"/>
      <w:bookmarkEnd w:id="1"/>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62B0D1A9" w14:textId="77777777" w:rsidR="00242D10" w:rsidRPr="00E5152C" w:rsidRDefault="00242D10" w:rsidP="00C83420">
      <w:pPr>
        <w:pStyle w:val="Heading1"/>
        <w:spacing w:before="0"/>
        <w:jc w:val="both"/>
        <w:rPr>
          <w:lang w:val="en-US"/>
        </w:rPr>
      </w:pPr>
      <w:r w:rsidRPr="00E5152C">
        <w:rPr>
          <w:lang w:val="en-US"/>
        </w:rPr>
        <w:t>Introduction</w:t>
      </w:r>
    </w:p>
    <w:p w14:paraId="7F248B3D" w14:textId="656C5B24" w:rsidR="00CF67F3" w:rsidRPr="00CC0312" w:rsidRDefault="00397EC4" w:rsidP="00CC0312">
      <w:pPr>
        <w:pStyle w:val="0Maintext"/>
        <w:spacing w:after="120" w:afterAutospacing="0"/>
        <w:rPr>
          <w:lang w:val="en-US"/>
        </w:rPr>
      </w:pPr>
      <w:r w:rsidRPr="00E5152C">
        <w:rPr>
          <w:lang w:val="en-US"/>
        </w:rPr>
        <w:t xml:space="preserve">Samsung’s views on </w:t>
      </w:r>
      <w:r w:rsidR="000B7076" w:rsidRPr="00E5152C">
        <w:rPr>
          <w:lang w:val="en-US"/>
        </w:rPr>
        <w:t>enhancements to multi-beam operation</w:t>
      </w:r>
      <w:r w:rsidR="00A32079" w:rsidRPr="00E5152C">
        <w:rPr>
          <w:lang w:val="en-US"/>
        </w:rPr>
        <w:t xml:space="preserve"> and evaluation methodology are presented</w:t>
      </w:r>
      <w:r w:rsidR="00CC0312">
        <w:rPr>
          <w:lang w:val="en-US"/>
        </w:rPr>
        <w:t xml:space="preserve"> in this contribution</w:t>
      </w:r>
      <w:r w:rsidR="000B7076" w:rsidRPr="00E5152C">
        <w:rPr>
          <w:lang w:val="en-US"/>
        </w:rPr>
        <w:t xml:space="preserve">. </w:t>
      </w:r>
    </w:p>
    <w:p w14:paraId="740B28F7" w14:textId="4725C5FA" w:rsidR="005C7597" w:rsidRPr="00E5152C" w:rsidRDefault="005C7597" w:rsidP="000E50E2">
      <w:pPr>
        <w:pStyle w:val="0Maintext"/>
        <w:spacing w:after="120" w:afterAutospacing="0"/>
        <w:ind w:firstLine="0"/>
        <w:rPr>
          <w:lang w:val="en-US"/>
        </w:rPr>
      </w:pPr>
    </w:p>
    <w:p w14:paraId="68174098" w14:textId="1EB5D052" w:rsidR="004777BD" w:rsidRPr="00E5152C" w:rsidRDefault="000B7076" w:rsidP="00C83420">
      <w:pPr>
        <w:pStyle w:val="01Section1"/>
        <w:spacing w:before="0" w:after="120"/>
        <w:rPr>
          <w:lang w:val="en-US"/>
        </w:rPr>
      </w:pPr>
      <w:r w:rsidRPr="00E5152C">
        <w:rPr>
          <w:lang w:val="en-US"/>
        </w:rPr>
        <w:t>SCell</w:t>
      </w:r>
      <w:r w:rsidR="00B74773" w:rsidRPr="00E5152C">
        <w:rPr>
          <w:lang w:val="en-US"/>
        </w:rPr>
        <w:t xml:space="preserve"> BFR</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577B98D9" w14:textId="77777777" w:rsidR="002D3358" w:rsidRDefault="002D3358" w:rsidP="002D3358">
      <w:pPr>
        <w:pStyle w:val="0Maintext"/>
        <w:spacing w:after="120" w:afterAutospacing="0"/>
        <w:rPr>
          <w:lang w:val="en-US"/>
        </w:rPr>
      </w:pPr>
      <w:r>
        <w:rPr>
          <w:lang w:val="en-US"/>
        </w:rPr>
        <w:t xml:space="preserve">The following agreement/conclusion was reached in RAN1 NR-AH 1901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p w14:paraId="3BA391CE" w14:textId="77777777" w:rsidR="002D3358" w:rsidRPr="002D3358" w:rsidRDefault="002D3358" w:rsidP="002D3358">
      <w:pPr>
        <w:spacing w:after="0"/>
        <w:jc w:val="both"/>
        <w:rPr>
          <w:b/>
          <w:sz w:val="18"/>
          <w:highlight w:val="green"/>
        </w:rPr>
      </w:pPr>
      <w:r w:rsidRPr="002D3358">
        <w:rPr>
          <w:b/>
          <w:sz w:val="18"/>
          <w:highlight w:val="green"/>
        </w:rPr>
        <w:t>Agreement</w:t>
      </w:r>
    </w:p>
    <w:p w14:paraId="0D1D5592" w14:textId="77777777" w:rsidR="002D3358" w:rsidRPr="002D3358" w:rsidRDefault="002D3358" w:rsidP="002D3358">
      <w:pPr>
        <w:pStyle w:val="ListParagraph"/>
        <w:numPr>
          <w:ilvl w:val="0"/>
          <w:numId w:val="37"/>
        </w:numPr>
        <w:spacing w:after="0"/>
        <w:ind w:leftChars="0"/>
        <w:jc w:val="both"/>
        <w:rPr>
          <w:rFonts w:eastAsia="SimSun"/>
          <w:sz w:val="18"/>
        </w:rPr>
      </w:pPr>
      <w:r w:rsidRPr="002D3358">
        <w:rPr>
          <w:rFonts w:eastAsia="SimSun"/>
          <w:sz w:val="18"/>
        </w:rPr>
        <w:t xml:space="preserve">SCell BFD is based on periodic 1-port CSI-RS, which can be configured explicitly by RRC or implicitly by TCI state. </w:t>
      </w:r>
    </w:p>
    <w:p w14:paraId="39686B53" w14:textId="77777777" w:rsidR="002D3358" w:rsidRPr="002D3358" w:rsidRDefault="002D3358" w:rsidP="002D3358">
      <w:pPr>
        <w:pStyle w:val="ListParagraph"/>
        <w:numPr>
          <w:ilvl w:val="0"/>
          <w:numId w:val="37"/>
        </w:numPr>
        <w:spacing w:after="0"/>
        <w:ind w:leftChars="0"/>
        <w:jc w:val="both"/>
        <w:rPr>
          <w:rFonts w:eastAsia="SimSun"/>
          <w:sz w:val="18"/>
        </w:rPr>
      </w:pPr>
      <w:r w:rsidRPr="002D3358">
        <w:rPr>
          <w:rFonts w:eastAsia="SimSun"/>
          <w:sz w:val="18"/>
        </w:rPr>
        <w:t>Down-select one of the following alternatives in RAN1#96:</w:t>
      </w:r>
    </w:p>
    <w:p w14:paraId="75EA2C36" w14:textId="77777777" w:rsidR="002D3358" w:rsidRPr="002D3358" w:rsidRDefault="002D3358" w:rsidP="002D3358">
      <w:pPr>
        <w:pStyle w:val="ListParagraph"/>
        <w:numPr>
          <w:ilvl w:val="1"/>
          <w:numId w:val="37"/>
        </w:numPr>
        <w:spacing w:after="0"/>
        <w:ind w:leftChars="0"/>
        <w:jc w:val="both"/>
        <w:rPr>
          <w:rFonts w:eastAsia="SimSun"/>
          <w:sz w:val="18"/>
        </w:rPr>
      </w:pPr>
      <w:r w:rsidRPr="002D3358">
        <w:rPr>
          <w:rFonts w:eastAsia="SimSun"/>
          <w:sz w:val="18"/>
        </w:rPr>
        <w:t>Alt 1: SCell BFD RS is in current CC</w:t>
      </w:r>
    </w:p>
    <w:p w14:paraId="33AF0463" w14:textId="77777777" w:rsidR="002D3358" w:rsidRPr="002D3358" w:rsidRDefault="002D3358" w:rsidP="002D3358">
      <w:pPr>
        <w:pStyle w:val="ListParagraph"/>
        <w:numPr>
          <w:ilvl w:val="1"/>
          <w:numId w:val="37"/>
        </w:numPr>
        <w:spacing w:after="0"/>
        <w:ind w:leftChars="0"/>
        <w:jc w:val="both"/>
        <w:rPr>
          <w:rFonts w:eastAsia="SimSun"/>
          <w:sz w:val="18"/>
        </w:rPr>
      </w:pPr>
      <w:r w:rsidRPr="002D3358">
        <w:rPr>
          <w:rFonts w:eastAsia="SimSun"/>
          <w:sz w:val="18"/>
        </w:rPr>
        <w:t>Alt 2: SCell BFD RS is in current CC for explicit configuration and can be in current CC or another CC for implicit configuration</w:t>
      </w:r>
    </w:p>
    <w:p w14:paraId="5C480BAD" w14:textId="77777777" w:rsidR="002D3358" w:rsidRPr="002D3358" w:rsidRDefault="002D3358" w:rsidP="002D3358">
      <w:pPr>
        <w:pStyle w:val="ListParagraph"/>
        <w:numPr>
          <w:ilvl w:val="1"/>
          <w:numId w:val="37"/>
        </w:numPr>
        <w:spacing w:after="0"/>
        <w:ind w:leftChars="0"/>
        <w:jc w:val="both"/>
        <w:rPr>
          <w:rFonts w:eastAsia="SimSun"/>
          <w:sz w:val="18"/>
        </w:rPr>
      </w:pPr>
      <w:r w:rsidRPr="002D3358">
        <w:rPr>
          <w:rFonts w:eastAsia="SimSun"/>
          <w:sz w:val="18"/>
        </w:rPr>
        <w:t>Alt 3: SCell BFD RS can be in current CC or another CC for both explicit and implicit configuration</w:t>
      </w:r>
    </w:p>
    <w:p w14:paraId="52F4D126" w14:textId="77777777" w:rsidR="002D3358" w:rsidRPr="002D3358" w:rsidRDefault="002D3358" w:rsidP="002D3358">
      <w:pPr>
        <w:pStyle w:val="ListParagraph"/>
        <w:numPr>
          <w:ilvl w:val="0"/>
          <w:numId w:val="37"/>
        </w:numPr>
        <w:spacing w:after="0"/>
        <w:ind w:leftChars="0"/>
        <w:jc w:val="both"/>
        <w:rPr>
          <w:rFonts w:eastAsia="SimSun"/>
          <w:sz w:val="18"/>
        </w:rPr>
      </w:pPr>
      <w:r w:rsidRPr="002D3358">
        <w:rPr>
          <w:rFonts w:eastAsia="SimSun"/>
          <w:sz w:val="18"/>
        </w:rPr>
        <w:t>SCell BFD is measured based on hypothetical BLER</w:t>
      </w:r>
    </w:p>
    <w:p w14:paraId="15088ED3" w14:textId="77777777" w:rsidR="002D3358" w:rsidRPr="002D3358" w:rsidRDefault="002D3358" w:rsidP="002D3358">
      <w:pPr>
        <w:spacing w:after="0"/>
        <w:jc w:val="both"/>
        <w:rPr>
          <w:b/>
          <w:sz w:val="18"/>
          <w:highlight w:val="green"/>
        </w:rPr>
      </w:pPr>
    </w:p>
    <w:p w14:paraId="045BFD56" w14:textId="77777777" w:rsidR="002D3358" w:rsidRPr="002D3358" w:rsidRDefault="002D3358" w:rsidP="002D3358">
      <w:pPr>
        <w:spacing w:after="0"/>
        <w:jc w:val="both"/>
        <w:rPr>
          <w:b/>
          <w:sz w:val="18"/>
          <w:highlight w:val="green"/>
        </w:rPr>
      </w:pPr>
      <w:r w:rsidRPr="002D3358">
        <w:rPr>
          <w:b/>
          <w:sz w:val="18"/>
          <w:highlight w:val="green"/>
        </w:rPr>
        <w:t>Agreement</w:t>
      </w:r>
    </w:p>
    <w:p w14:paraId="5812870F" w14:textId="77777777" w:rsidR="002D3358" w:rsidRPr="002D3358" w:rsidRDefault="002D3358" w:rsidP="002D3358">
      <w:pPr>
        <w:pStyle w:val="ListParagraph"/>
        <w:spacing w:after="0"/>
        <w:ind w:leftChars="0" w:left="0"/>
        <w:jc w:val="both"/>
        <w:rPr>
          <w:sz w:val="18"/>
        </w:rPr>
      </w:pPr>
      <w:r w:rsidRPr="002D3358">
        <w:rPr>
          <w:sz w:val="18"/>
        </w:rPr>
        <w:t>Specification support will be provided for gNB to derive at least the failed CC index during SCell BFR procedure</w:t>
      </w:r>
    </w:p>
    <w:p w14:paraId="59D43AD7" w14:textId="77777777" w:rsidR="002D3358" w:rsidRPr="002D3358" w:rsidRDefault="002D3358" w:rsidP="002D3358">
      <w:pPr>
        <w:pStyle w:val="ListParagraph"/>
        <w:numPr>
          <w:ilvl w:val="0"/>
          <w:numId w:val="37"/>
        </w:numPr>
        <w:spacing w:after="0"/>
        <w:ind w:leftChars="0"/>
        <w:jc w:val="both"/>
        <w:rPr>
          <w:rFonts w:eastAsia="SimSun"/>
          <w:sz w:val="18"/>
        </w:rPr>
      </w:pPr>
      <w:r w:rsidRPr="002D3358">
        <w:rPr>
          <w:rFonts w:eastAsia="SimSun"/>
          <w:sz w:val="18"/>
        </w:rPr>
        <w:t>FFS: Whether the information is implicitly derived or explicitly conveyed by the UE</w:t>
      </w:r>
    </w:p>
    <w:p w14:paraId="3DE235A1" w14:textId="77777777" w:rsidR="002D3358" w:rsidRPr="002D3358" w:rsidRDefault="002D3358" w:rsidP="002D3358">
      <w:pPr>
        <w:pStyle w:val="ListParagraph"/>
        <w:numPr>
          <w:ilvl w:val="0"/>
          <w:numId w:val="37"/>
        </w:numPr>
        <w:spacing w:after="0"/>
        <w:ind w:leftChars="0"/>
        <w:jc w:val="both"/>
        <w:rPr>
          <w:rFonts w:eastAsia="SimSun"/>
          <w:sz w:val="18"/>
        </w:rPr>
      </w:pPr>
      <w:r w:rsidRPr="002D3358">
        <w:rPr>
          <w:rFonts w:eastAsia="SimSun"/>
          <w:sz w:val="18"/>
        </w:rPr>
        <w:t>FFS: Whether new beam information should be included</w:t>
      </w:r>
    </w:p>
    <w:p w14:paraId="2A302E11" w14:textId="77777777" w:rsidR="002D3358" w:rsidRPr="002D3358" w:rsidRDefault="002D3358" w:rsidP="002D3358">
      <w:pPr>
        <w:pStyle w:val="ListParagraph"/>
        <w:numPr>
          <w:ilvl w:val="0"/>
          <w:numId w:val="37"/>
        </w:numPr>
        <w:spacing w:after="0"/>
        <w:ind w:leftChars="0"/>
        <w:jc w:val="both"/>
        <w:rPr>
          <w:rFonts w:eastAsia="SimSun"/>
          <w:sz w:val="18"/>
        </w:rPr>
      </w:pPr>
      <w:r w:rsidRPr="002D3358">
        <w:rPr>
          <w:rFonts w:eastAsia="SimSun"/>
          <w:sz w:val="18"/>
        </w:rPr>
        <w:t>FFS: Details on triggering for transmitting BFRQ</w:t>
      </w:r>
    </w:p>
    <w:p w14:paraId="15640E15" w14:textId="77777777" w:rsidR="002D3358" w:rsidRPr="002D3358" w:rsidRDefault="002D3358" w:rsidP="002D3358">
      <w:pPr>
        <w:spacing w:after="0"/>
        <w:jc w:val="both"/>
        <w:rPr>
          <w:b/>
          <w:sz w:val="18"/>
          <w:highlight w:val="green"/>
        </w:rPr>
      </w:pPr>
    </w:p>
    <w:p w14:paraId="3A7CEF2E" w14:textId="77777777" w:rsidR="002D3358" w:rsidRPr="002D3358" w:rsidRDefault="002D3358" w:rsidP="002D3358">
      <w:pPr>
        <w:spacing w:after="0"/>
        <w:rPr>
          <w:b/>
          <w:sz w:val="18"/>
          <w:highlight w:val="green"/>
          <w:lang w:eastAsia="x-none"/>
        </w:rPr>
      </w:pPr>
      <w:r w:rsidRPr="002D3358">
        <w:rPr>
          <w:b/>
          <w:sz w:val="18"/>
          <w:highlight w:val="green"/>
          <w:lang w:eastAsia="x-none"/>
        </w:rPr>
        <w:t>Agreement</w:t>
      </w:r>
    </w:p>
    <w:p w14:paraId="65F09059" w14:textId="77777777" w:rsidR="002D3358" w:rsidRPr="002D3358" w:rsidRDefault="002D3358" w:rsidP="002D3358">
      <w:pPr>
        <w:pStyle w:val="ListParagraph"/>
        <w:spacing w:after="0"/>
        <w:ind w:leftChars="0" w:left="0"/>
        <w:jc w:val="both"/>
        <w:rPr>
          <w:sz w:val="18"/>
        </w:rPr>
      </w:pPr>
      <w:r w:rsidRPr="002D3358">
        <w:rPr>
          <w:sz w:val="18"/>
        </w:rPr>
        <w:t>Down-select at least one of the following alternatives:</w:t>
      </w:r>
    </w:p>
    <w:p w14:paraId="58DEA1F6" w14:textId="77777777" w:rsidR="002D3358" w:rsidRPr="002D3358" w:rsidRDefault="002D3358" w:rsidP="002D3358">
      <w:pPr>
        <w:pStyle w:val="ListParagraph"/>
        <w:numPr>
          <w:ilvl w:val="0"/>
          <w:numId w:val="37"/>
        </w:numPr>
        <w:spacing w:after="0"/>
        <w:ind w:leftChars="0"/>
        <w:jc w:val="both"/>
        <w:rPr>
          <w:rFonts w:eastAsia="SimSun"/>
          <w:sz w:val="18"/>
        </w:rPr>
      </w:pPr>
      <w:r w:rsidRPr="002D3358">
        <w:rPr>
          <w:rFonts w:eastAsia="SimSun"/>
          <w:sz w:val="18"/>
        </w:rPr>
        <w:t>Alt 1: For SCell BFR, BFRQ can be transmitted if UE declares beam failure and identifies a new candidate beam.</w:t>
      </w:r>
    </w:p>
    <w:p w14:paraId="6FF84F54" w14:textId="77777777" w:rsidR="002D3358" w:rsidRPr="002D3358" w:rsidRDefault="002D3358" w:rsidP="002D3358">
      <w:pPr>
        <w:pStyle w:val="ListParagraph"/>
        <w:numPr>
          <w:ilvl w:val="1"/>
          <w:numId w:val="38"/>
        </w:numPr>
        <w:spacing w:after="0"/>
        <w:ind w:leftChars="0"/>
        <w:jc w:val="both"/>
        <w:rPr>
          <w:sz w:val="18"/>
        </w:rPr>
      </w:pPr>
      <w:r w:rsidRPr="002D3358">
        <w:rPr>
          <w:sz w:val="18"/>
        </w:rPr>
        <w:t>UE reports new beam information by or after BFRQ</w:t>
      </w:r>
    </w:p>
    <w:p w14:paraId="2408381D" w14:textId="77777777" w:rsidR="002D3358" w:rsidRPr="002D3358" w:rsidRDefault="002D3358" w:rsidP="002D3358">
      <w:pPr>
        <w:pStyle w:val="ListParagraph"/>
        <w:numPr>
          <w:ilvl w:val="0"/>
          <w:numId w:val="37"/>
        </w:numPr>
        <w:spacing w:after="0"/>
        <w:ind w:leftChars="0"/>
        <w:jc w:val="both"/>
        <w:rPr>
          <w:rFonts w:eastAsia="SimSun"/>
          <w:sz w:val="18"/>
        </w:rPr>
      </w:pPr>
      <w:r w:rsidRPr="002D3358">
        <w:rPr>
          <w:rFonts w:eastAsia="SimSun"/>
          <w:sz w:val="18"/>
        </w:rPr>
        <w:t>Alt 2: For SCell BFR, BFRQ can be transmitted if UE declares beam failure.</w:t>
      </w:r>
    </w:p>
    <w:p w14:paraId="6A5D67E8" w14:textId="77777777" w:rsidR="002D3358" w:rsidRPr="002D3358" w:rsidRDefault="002D3358" w:rsidP="002D3358">
      <w:pPr>
        <w:pStyle w:val="ListParagraph"/>
        <w:numPr>
          <w:ilvl w:val="1"/>
          <w:numId w:val="38"/>
        </w:numPr>
        <w:spacing w:after="0"/>
        <w:ind w:leftChars="0"/>
        <w:jc w:val="both"/>
        <w:rPr>
          <w:sz w:val="18"/>
        </w:rPr>
      </w:pPr>
      <w:r w:rsidRPr="002D3358">
        <w:rPr>
          <w:sz w:val="18"/>
        </w:rPr>
        <w:t>UE only indicates beam failure happens by BFRQ</w:t>
      </w:r>
    </w:p>
    <w:p w14:paraId="1C68120A" w14:textId="77777777" w:rsidR="002D3358" w:rsidRPr="002D3358" w:rsidRDefault="002D3358" w:rsidP="002D3358">
      <w:pPr>
        <w:pStyle w:val="ListParagraph"/>
        <w:numPr>
          <w:ilvl w:val="1"/>
          <w:numId w:val="38"/>
        </w:numPr>
        <w:spacing w:after="0"/>
        <w:ind w:leftChars="0"/>
        <w:jc w:val="both"/>
        <w:rPr>
          <w:sz w:val="18"/>
        </w:rPr>
      </w:pPr>
      <w:r w:rsidRPr="002D3358">
        <w:rPr>
          <w:sz w:val="18"/>
        </w:rPr>
        <w:t>Note: new beam identification can be done by using DL BM procedure</w:t>
      </w:r>
    </w:p>
    <w:p w14:paraId="5F88CC8B" w14:textId="77777777" w:rsidR="002D3358" w:rsidRPr="002D3358" w:rsidRDefault="002D3358" w:rsidP="002D3358">
      <w:pPr>
        <w:pStyle w:val="ListParagraph"/>
        <w:numPr>
          <w:ilvl w:val="0"/>
          <w:numId w:val="37"/>
        </w:numPr>
        <w:spacing w:after="0"/>
        <w:ind w:leftChars="0"/>
        <w:jc w:val="both"/>
        <w:rPr>
          <w:rFonts w:eastAsia="SimSun"/>
          <w:sz w:val="18"/>
        </w:rPr>
      </w:pPr>
      <w:r w:rsidRPr="002D3358">
        <w:rPr>
          <w:rFonts w:eastAsia="SimSun"/>
          <w:sz w:val="18"/>
        </w:rPr>
        <w:t>Alt 3: For SCell BFR, BFRQ can be transmitted if UE declares beam failure</w:t>
      </w:r>
    </w:p>
    <w:p w14:paraId="1E1BD234" w14:textId="77777777" w:rsidR="002D3358" w:rsidRPr="002D3358" w:rsidRDefault="002D3358" w:rsidP="002D3358">
      <w:pPr>
        <w:pStyle w:val="ListParagraph"/>
        <w:numPr>
          <w:ilvl w:val="1"/>
          <w:numId w:val="38"/>
        </w:numPr>
        <w:spacing w:after="0"/>
        <w:ind w:leftChars="0"/>
        <w:jc w:val="both"/>
        <w:rPr>
          <w:sz w:val="18"/>
        </w:rPr>
      </w:pPr>
      <w:r w:rsidRPr="002D3358">
        <w:rPr>
          <w:sz w:val="18"/>
        </w:rPr>
        <w:t xml:space="preserve">UE may report new beam information during BFR procedure </w:t>
      </w:r>
    </w:p>
    <w:p w14:paraId="2C5BE956" w14:textId="77777777" w:rsidR="002D3358" w:rsidRPr="002D3358" w:rsidRDefault="002D3358" w:rsidP="002D3358">
      <w:pPr>
        <w:pStyle w:val="ListParagraph"/>
        <w:numPr>
          <w:ilvl w:val="1"/>
          <w:numId w:val="38"/>
        </w:numPr>
        <w:spacing w:after="0"/>
        <w:ind w:leftChars="0"/>
        <w:jc w:val="both"/>
        <w:rPr>
          <w:sz w:val="18"/>
        </w:rPr>
      </w:pPr>
      <w:r w:rsidRPr="002D3358">
        <w:rPr>
          <w:sz w:val="18"/>
        </w:rPr>
        <w:t>FFS: impact of new beam identification threshold</w:t>
      </w:r>
    </w:p>
    <w:p w14:paraId="5D1356EA" w14:textId="77777777" w:rsidR="002D3358" w:rsidRPr="002D3358" w:rsidRDefault="002D3358" w:rsidP="002D3358">
      <w:pPr>
        <w:pStyle w:val="ListParagraph"/>
        <w:numPr>
          <w:ilvl w:val="0"/>
          <w:numId w:val="37"/>
        </w:numPr>
        <w:spacing w:after="0"/>
        <w:ind w:leftChars="0"/>
        <w:jc w:val="both"/>
        <w:rPr>
          <w:rFonts w:eastAsia="SimSun"/>
          <w:sz w:val="18"/>
        </w:rPr>
      </w:pPr>
      <w:r w:rsidRPr="002D3358">
        <w:rPr>
          <w:rFonts w:eastAsia="SimSun"/>
          <w:sz w:val="18"/>
        </w:rPr>
        <w:t>Note: It is up to UE whether to do beam failure detection and new beam identification in parallel or not</w:t>
      </w:r>
    </w:p>
    <w:p w14:paraId="49FA4492" w14:textId="77777777" w:rsidR="002D3358" w:rsidRPr="002D3358" w:rsidRDefault="002D3358" w:rsidP="002D3358">
      <w:pPr>
        <w:pStyle w:val="ListParagraph"/>
        <w:numPr>
          <w:ilvl w:val="0"/>
          <w:numId w:val="37"/>
        </w:numPr>
        <w:spacing w:after="0"/>
        <w:ind w:leftChars="0"/>
        <w:jc w:val="both"/>
        <w:rPr>
          <w:rFonts w:eastAsia="SimSun"/>
          <w:sz w:val="18"/>
        </w:rPr>
      </w:pPr>
      <w:r w:rsidRPr="002D3358">
        <w:rPr>
          <w:rFonts w:eastAsia="SimSun"/>
          <w:sz w:val="18"/>
        </w:rPr>
        <w:t>For Alt1 and Alt3, reference signals for new candidate DL beam(s) are configured, which are based on CSI-RS and/or SSB.</w:t>
      </w:r>
    </w:p>
    <w:p w14:paraId="21256EA8" w14:textId="77777777" w:rsidR="002D3358" w:rsidRPr="002D3358" w:rsidRDefault="002D3358" w:rsidP="002D3358">
      <w:pPr>
        <w:pStyle w:val="ListParagraph"/>
        <w:numPr>
          <w:ilvl w:val="1"/>
          <w:numId w:val="38"/>
        </w:numPr>
        <w:spacing w:after="0"/>
        <w:ind w:leftChars="0"/>
        <w:jc w:val="both"/>
        <w:rPr>
          <w:sz w:val="18"/>
        </w:rPr>
      </w:pPr>
      <w:r w:rsidRPr="002D3358">
        <w:rPr>
          <w:sz w:val="18"/>
        </w:rPr>
        <w:t>FFS: whether the CSI-RS and/or SSB can be in another CC</w:t>
      </w:r>
    </w:p>
    <w:p w14:paraId="3412DFCD" w14:textId="77777777" w:rsidR="002D3358" w:rsidRPr="002D3358" w:rsidRDefault="002D3358" w:rsidP="002D3358">
      <w:pPr>
        <w:pStyle w:val="ListParagraph"/>
        <w:numPr>
          <w:ilvl w:val="1"/>
          <w:numId w:val="38"/>
        </w:numPr>
        <w:spacing w:after="0"/>
        <w:ind w:leftChars="0"/>
        <w:jc w:val="both"/>
        <w:rPr>
          <w:sz w:val="18"/>
        </w:rPr>
      </w:pPr>
      <w:r w:rsidRPr="002D3358">
        <w:rPr>
          <w:sz w:val="18"/>
        </w:rPr>
        <w:t>FFS: signaling details, e.g. RRC and/or MAC CE</w:t>
      </w:r>
    </w:p>
    <w:p w14:paraId="53207ADC" w14:textId="77777777" w:rsidR="002D3358" w:rsidRPr="002D3358" w:rsidRDefault="002D3358" w:rsidP="002D3358">
      <w:pPr>
        <w:spacing w:after="0"/>
        <w:jc w:val="both"/>
        <w:rPr>
          <w:b/>
          <w:sz w:val="18"/>
          <w:highlight w:val="green"/>
        </w:rPr>
      </w:pPr>
    </w:p>
    <w:p w14:paraId="20163D63" w14:textId="77777777" w:rsidR="002D3358" w:rsidRPr="002D3358" w:rsidRDefault="002D3358" w:rsidP="002D3358">
      <w:pPr>
        <w:spacing w:after="0"/>
        <w:rPr>
          <w:b/>
          <w:sz w:val="18"/>
          <w:highlight w:val="green"/>
          <w:lang w:eastAsia="x-none"/>
        </w:rPr>
      </w:pPr>
      <w:r w:rsidRPr="002D3358">
        <w:rPr>
          <w:b/>
          <w:sz w:val="18"/>
          <w:highlight w:val="green"/>
          <w:lang w:eastAsia="x-none"/>
        </w:rPr>
        <w:t>Agreement</w:t>
      </w:r>
    </w:p>
    <w:p w14:paraId="103DD549" w14:textId="77777777" w:rsidR="002D3358" w:rsidRPr="002D3358" w:rsidRDefault="002D3358" w:rsidP="002D3358">
      <w:pPr>
        <w:pStyle w:val="ListParagraph"/>
        <w:spacing w:after="0"/>
        <w:ind w:leftChars="0" w:left="0"/>
        <w:jc w:val="both"/>
        <w:rPr>
          <w:sz w:val="18"/>
        </w:rPr>
      </w:pPr>
      <w:r w:rsidRPr="002D3358">
        <w:rPr>
          <w:sz w:val="18"/>
        </w:rPr>
        <w:t>For SCell BFR</w:t>
      </w:r>
    </w:p>
    <w:p w14:paraId="2F2C0E96" w14:textId="77777777" w:rsidR="002D3358" w:rsidRPr="002D3358" w:rsidRDefault="002D3358" w:rsidP="002D3358">
      <w:pPr>
        <w:pStyle w:val="ListParagraph"/>
        <w:numPr>
          <w:ilvl w:val="0"/>
          <w:numId w:val="37"/>
        </w:numPr>
        <w:spacing w:after="0"/>
        <w:ind w:leftChars="0"/>
        <w:jc w:val="both"/>
        <w:rPr>
          <w:rFonts w:eastAsia="SimSun"/>
          <w:sz w:val="18"/>
        </w:rPr>
      </w:pPr>
      <w:r w:rsidRPr="002D3358">
        <w:rPr>
          <w:rFonts w:eastAsia="SimSun"/>
          <w:sz w:val="18"/>
        </w:rPr>
        <w:t>Decide BFRQ solution for BFR on SCell with DL only first, PCell in FR1+FR2</w:t>
      </w:r>
    </w:p>
    <w:p w14:paraId="48386BC1" w14:textId="77777777" w:rsidR="002D3358" w:rsidRPr="002D3358" w:rsidRDefault="002D3358" w:rsidP="002D3358">
      <w:pPr>
        <w:pStyle w:val="ListParagraph"/>
        <w:numPr>
          <w:ilvl w:val="0"/>
          <w:numId w:val="37"/>
        </w:numPr>
        <w:spacing w:after="0"/>
        <w:ind w:leftChars="0"/>
        <w:jc w:val="both"/>
        <w:rPr>
          <w:sz w:val="18"/>
        </w:rPr>
      </w:pPr>
      <w:r w:rsidRPr="002D3358">
        <w:rPr>
          <w:rFonts w:eastAsia="SimSun"/>
          <w:sz w:val="18"/>
        </w:rPr>
        <w:t>Above is to facilitate RAN1 discussion but not to prioritize certain scenarios</w:t>
      </w:r>
    </w:p>
    <w:p w14:paraId="02D8EFFE" w14:textId="77777777" w:rsidR="002D3358" w:rsidRPr="002D3358" w:rsidRDefault="002D3358" w:rsidP="002D3358">
      <w:pPr>
        <w:pStyle w:val="0Maintext"/>
        <w:spacing w:after="0" w:afterAutospacing="0" w:line="240" w:lineRule="auto"/>
        <w:rPr>
          <w:sz w:val="18"/>
          <w:lang w:val="en-US"/>
        </w:rPr>
      </w:pPr>
    </w:p>
    <w:p w14:paraId="34AF5ACB" w14:textId="59A77AE4" w:rsidR="00CE0EDA" w:rsidRDefault="00CE0EDA" w:rsidP="00C83420">
      <w:pPr>
        <w:pStyle w:val="0Maintext"/>
        <w:spacing w:after="120" w:afterAutospacing="0"/>
        <w:rPr>
          <w:lang w:val="en-US"/>
        </w:rPr>
      </w:pPr>
    </w:p>
    <w:p w14:paraId="0882CBD8" w14:textId="77777777" w:rsidR="004C612C" w:rsidRDefault="004C612C" w:rsidP="004C612C">
      <w:pPr>
        <w:pStyle w:val="0Maintext"/>
        <w:spacing w:after="120" w:afterAutospacing="0"/>
        <w:rPr>
          <w:lang w:val="en-US"/>
        </w:rPr>
      </w:pPr>
      <w:r>
        <w:rPr>
          <w:lang w:val="en-US"/>
        </w:rPr>
        <w:t xml:space="preserve">Regarding beam failure detection (BFD) function for SCell, the Rel.15 beam failure detection procedure can be re-used. 1-port periodic CSI-RS is used as BFD RS for SCell. </w:t>
      </w:r>
      <w:r w:rsidRPr="00E5152C">
        <w:rPr>
          <w:lang w:val="en-US"/>
        </w:rPr>
        <w:t>The gNB can configure the set q</w:t>
      </w:r>
      <w:r w:rsidRPr="00E5152C">
        <w:rPr>
          <w:vertAlign w:val="subscript"/>
          <w:lang w:val="en-US"/>
        </w:rPr>
        <w:t>0</w:t>
      </w:r>
      <w:r w:rsidRPr="00E5152C">
        <w:rPr>
          <w:lang w:val="en-US"/>
        </w:rPr>
        <w:t xml:space="preserve"> of </w:t>
      </w:r>
      <w:r>
        <w:rPr>
          <w:lang w:val="en-US"/>
        </w:rPr>
        <w:t xml:space="preserve">CSI-RS as the </w:t>
      </w:r>
      <w:r w:rsidRPr="00E5152C">
        <w:rPr>
          <w:lang w:val="en-US"/>
        </w:rPr>
        <w:t>beam failure detection RSs for an SCell to the UE.</w:t>
      </w:r>
      <w:r>
        <w:rPr>
          <w:lang w:val="en-US"/>
        </w:rPr>
        <w:t xml:space="preserve"> The UE can also derive the set </w:t>
      </w:r>
      <w:r w:rsidRPr="00E5152C">
        <w:rPr>
          <w:lang w:val="en-US"/>
        </w:rPr>
        <w:t>q</w:t>
      </w:r>
      <w:r w:rsidRPr="00E5152C">
        <w:rPr>
          <w:vertAlign w:val="subscript"/>
          <w:lang w:val="en-US"/>
        </w:rPr>
        <w:t>0</w:t>
      </w:r>
      <w:r w:rsidRPr="00E5152C">
        <w:rPr>
          <w:lang w:val="en-US"/>
        </w:rPr>
        <w:t xml:space="preserve"> of </w:t>
      </w:r>
      <w:r>
        <w:rPr>
          <w:lang w:val="en-US"/>
        </w:rPr>
        <w:t xml:space="preserve">CSI-RS as the </w:t>
      </w:r>
      <w:r w:rsidRPr="00E5152C">
        <w:rPr>
          <w:lang w:val="en-US"/>
        </w:rPr>
        <w:t xml:space="preserve">beam failure detection </w:t>
      </w:r>
      <w:r w:rsidRPr="00E5152C">
        <w:rPr>
          <w:lang w:val="en-US"/>
        </w:rPr>
        <w:lastRenderedPageBreak/>
        <w:t>RSs for an SCell</w:t>
      </w:r>
      <w:r>
        <w:rPr>
          <w:lang w:val="en-US"/>
        </w:rPr>
        <w:t xml:space="preserve"> based on the TCI states configured to the PDCCH on that SCell. The CSI-RS used for SCell beam failure detection can be in the same SCell or another SCell or PCell.</w:t>
      </w:r>
      <w:r w:rsidRPr="00E5152C">
        <w:rPr>
          <w:lang w:val="en-US"/>
        </w:rPr>
        <w:t xml:space="preserve">      </w:t>
      </w:r>
    </w:p>
    <w:p w14:paraId="1CD2D5BE" w14:textId="77777777" w:rsidR="004C612C" w:rsidRDefault="004C612C" w:rsidP="004C612C">
      <w:pPr>
        <w:pStyle w:val="Style1"/>
        <w:spacing w:after="120"/>
        <w:ind w:firstLine="0"/>
        <w:rPr>
          <w:i/>
          <w:lang w:val="en-US"/>
        </w:rPr>
      </w:pPr>
      <w:r w:rsidRPr="00E5152C">
        <w:rPr>
          <w:b/>
          <w:u w:val="single"/>
          <w:lang w:val="en-US"/>
        </w:rPr>
        <w:t>Proposal</w:t>
      </w:r>
      <w:r w:rsidRPr="00E5152C">
        <w:rPr>
          <w:lang w:val="en-US"/>
        </w:rPr>
        <w:t xml:space="preserve">: </w:t>
      </w:r>
      <w:r w:rsidRPr="00E5152C">
        <w:rPr>
          <w:i/>
          <w:lang w:val="en-US"/>
        </w:rPr>
        <w:t xml:space="preserve">For SCell BFR, Rel.15 beam failure detection procedure is reused </w:t>
      </w:r>
      <w:r>
        <w:rPr>
          <w:i/>
          <w:lang w:val="en-US"/>
        </w:rPr>
        <w:t>for SCell:</w:t>
      </w:r>
    </w:p>
    <w:p w14:paraId="5F5E9D4F" w14:textId="77777777" w:rsidR="004C612C" w:rsidRDefault="004C612C" w:rsidP="004C612C">
      <w:pPr>
        <w:pStyle w:val="Style1"/>
        <w:numPr>
          <w:ilvl w:val="0"/>
          <w:numId w:val="39"/>
        </w:numPr>
        <w:spacing w:after="120"/>
        <w:rPr>
          <w:i/>
          <w:lang w:val="en-US"/>
        </w:rPr>
      </w:pPr>
      <w:r>
        <w:rPr>
          <w:i/>
          <w:lang w:val="en-US"/>
        </w:rPr>
        <w:t>Support Alt3, SCell BFD RS can be in current CC or another CC for both explicit and implicit configurations.</w:t>
      </w:r>
    </w:p>
    <w:p w14:paraId="4BC5BDE2" w14:textId="77777777" w:rsidR="004C612C" w:rsidRPr="00E5152C" w:rsidRDefault="004C612C" w:rsidP="004C612C">
      <w:pPr>
        <w:pStyle w:val="0Maintext"/>
        <w:rPr>
          <w:lang w:val="en-US"/>
        </w:rPr>
      </w:pPr>
      <w:r w:rsidRPr="00E5152C">
        <w:rPr>
          <w:lang w:val="en-US"/>
        </w:rPr>
        <w:t xml:space="preserve">Regarding new beam identification </w:t>
      </w:r>
      <w:r>
        <w:rPr>
          <w:lang w:val="en-US"/>
        </w:rPr>
        <w:t>(NBI), in Rel.15</w:t>
      </w:r>
      <w:r w:rsidRPr="00E5152C">
        <w:rPr>
          <w:lang w:val="en-US"/>
        </w:rPr>
        <w:t xml:space="preserve"> the UE is configured with an RS set q</w:t>
      </w:r>
      <w:r w:rsidRPr="00E5152C">
        <w:rPr>
          <w:vertAlign w:val="subscript"/>
          <w:lang w:val="en-US"/>
        </w:rPr>
        <w:t>1</w:t>
      </w:r>
      <w:r w:rsidRPr="00E5152C">
        <w:rPr>
          <w:lang w:val="en-US"/>
        </w:rPr>
        <w:t>. When beam failure occurs, the UE chooses one RS from the set q</w:t>
      </w:r>
      <w:r w:rsidRPr="00E5152C">
        <w:rPr>
          <w:vertAlign w:val="subscript"/>
          <w:lang w:val="en-US"/>
        </w:rPr>
        <w:t>1</w:t>
      </w:r>
      <w:r w:rsidRPr="00E5152C">
        <w:rPr>
          <w:lang w:val="en-US"/>
        </w:rPr>
        <w:t xml:space="preserve"> and recommends it to the serving gNB. Then the gNB uses that RS as the Tx beam to transmit the gNB response. For SCell BFR, </w:t>
      </w:r>
      <w:r>
        <w:rPr>
          <w:lang w:val="en-US"/>
        </w:rPr>
        <w:t>however, NBI</w:t>
      </w:r>
      <w:r w:rsidRPr="00E5152C">
        <w:rPr>
          <w:lang w:val="en-US"/>
        </w:rPr>
        <w:t xml:space="preserve"> is not needed. </w:t>
      </w:r>
      <w:r>
        <w:rPr>
          <w:lang w:val="en-US"/>
        </w:rPr>
        <w:t>NBI</w:t>
      </w:r>
      <w:r w:rsidRPr="00E5152C">
        <w:rPr>
          <w:lang w:val="en-US"/>
        </w:rPr>
        <w:t xml:space="preserve"> is supported in Rel.15 because no DL beam connection is reliable when the beam failure event occurs. In contrast, that is not the case for SCell. When beam failure occurs in one SCell (but not i</w:t>
      </w:r>
      <w:r>
        <w:rPr>
          <w:lang w:val="en-US"/>
        </w:rPr>
        <w:t>n PCell), the beam connection in</w:t>
      </w:r>
      <w:r w:rsidRPr="00E5152C">
        <w:rPr>
          <w:lang w:val="en-US"/>
        </w:rPr>
        <w:t xml:space="preserve"> PCell is still good and can be used for transmitting gNB response an</w:t>
      </w:r>
      <w:r>
        <w:rPr>
          <w:lang w:val="en-US"/>
        </w:rPr>
        <w:t>d follow-up “beam switch” signa</w:t>
      </w:r>
      <w:r w:rsidRPr="00E5152C">
        <w:rPr>
          <w:lang w:val="en-US"/>
        </w:rPr>
        <w:t xml:space="preserve">ling on the SCell. Likewise, in the deployment scenarios where PCell is in FR1 and SCell is in FR2, the connection in PCell is still good when beam failure occurs in one SCell and the PCell can be used to switch/update the beams for that SCell. Therefore, the UE does not need to identify </w:t>
      </w:r>
      <w:r>
        <w:rPr>
          <w:lang w:val="en-US"/>
        </w:rPr>
        <w:t xml:space="preserve">a </w:t>
      </w:r>
      <w:r w:rsidRPr="00E5152C">
        <w:rPr>
          <w:lang w:val="en-US"/>
        </w:rPr>
        <w:t xml:space="preserve">new beam for that SCell. </w:t>
      </w:r>
      <w:r>
        <w:rPr>
          <w:lang w:val="en-US"/>
        </w:rPr>
        <w:t>The same applies i</w:t>
      </w:r>
      <w:r w:rsidRPr="00E5152C">
        <w:rPr>
          <w:lang w:val="en-US"/>
        </w:rPr>
        <w:t xml:space="preserve">n deployment scenarios where </w:t>
      </w:r>
      <w:r>
        <w:rPr>
          <w:lang w:val="en-US"/>
        </w:rPr>
        <w:t>both PCell and SCell are in FR2.</w:t>
      </w:r>
      <w:r w:rsidRPr="00E5152C">
        <w:rPr>
          <w:lang w:val="en-US"/>
        </w:rPr>
        <w:t xml:space="preserve">   </w:t>
      </w:r>
    </w:p>
    <w:p w14:paraId="69F819E2" w14:textId="77777777" w:rsidR="004C612C" w:rsidRDefault="004C612C" w:rsidP="004C612C">
      <w:pPr>
        <w:pStyle w:val="0Maintext"/>
        <w:spacing w:after="120" w:afterAutospacing="0"/>
        <w:rPr>
          <w:lang w:val="en-US"/>
        </w:rPr>
      </w:pPr>
      <w:r>
        <w:rPr>
          <w:lang w:val="en-US"/>
        </w:rPr>
        <w:t>Three alternatives for SCell beam failure reporting were discussed. We can evaluate and compare them as follows:</w:t>
      </w:r>
    </w:p>
    <w:p w14:paraId="6E05D721" w14:textId="1C4E24F2" w:rsidR="004C612C" w:rsidRDefault="00343033" w:rsidP="004C612C">
      <w:pPr>
        <w:pStyle w:val="0Maintext"/>
        <w:numPr>
          <w:ilvl w:val="0"/>
          <w:numId w:val="40"/>
        </w:numPr>
        <w:spacing w:after="120" w:afterAutospacing="0"/>
        <w:rPr>
          <w:lang w:val="en-US"/>
        </w:rPr>
      </w:pPr>
      <w:r>
        <w:rPr>
          <w:lang w:val="en-US"/>
        </w:rPr>
        <w:t>Alt1 (</w:t>
      </w:r>
      <w:r w:rsidR="004C612C">
        <w:rPr>
          <w:lang w:val="en-US"/>
        </w:rPr>
        <w:t xml:space="preserve">The SCell BFRQ is transmitted when UE declares beam failure and identifies </w:t>
      </w:r>
      <w:r>
        <w:rPr>
          <w:lang w:val="en-US"/>
        </w:rPr>
        <w:t>a new candidate beam): The main concern</w:t>
      </w:r>
      <w:r w:rsidR="004C612C">
        <w:rPr>
          <w:lang w:val="en-US"/>
        </w:rPr>
        <w:t xml:space="preserve"> on this </w:t>
      </w:r>
      <w:r w:rsidR="007D12EA">
        <w:rPr>
          <w:lang w:val="en-US"/>
        </w:rPr>
        <w:t>scheme</w:t>
      </w:r>
      <w:r w:rsidR="004C612C">
        <w:rPr>
          <w:lang w:val="en-US"/>
        </w:rPr>
        <w:t xml:space="preserve"> is </w:t>
      </w:r>
      <w:r>
        <w:rPr>
          <w:lang w:val="en-US"/>
        </w:rPr>
        <w:t xml:space="preserve">its </w:t>
      </w:r>
      <w:r w:rsidR="004C612C">
        <w:rPr>
          <w:lang w:val="en-US"/>
        </w:rPr>
        <w:t>potential</w:t>
      </w:r>
      <w:r>
        <w:rPr>
          <w:lang w:val="en-US"/>
        </w:rPr>
        <w:t>ly</w:t>
      </w:r>
      <w:r w:rsidR="004C612C">
        <w:rPr>
          <w:lang w:val="en-US"/>
        </w:rPr>
        <w:t xml:space="preserve"> la</w:t>
      </w:r>
      <w:r w:rsidR="003B226F">
        <w:rPr>
          <w:lang w:val="en-US"/>
        </w:rPr>
        <w:t>rge latency in recovering SCell</w:t>
      </w:r>
      <w:r>
        <w:rPr>
          <w:lang w:val="en-US"/>
        </w:rPr>
        <w:t>.</w:t>
      </w:r>
      <w:r w:rsidR="004C612C">
        <w:rPr>
          <w:lang w:val="en-US"/>
        </w:rPr>
        <w:t xml:space="preserve"> Whenever beam failure in one SCell happens, the UE would have to wait until a new beam is identified. If a new beam cannot be found, the UE </w:t>
      </w:r>
      <w:r w:rsidR="003B226F">
        <w:rPr>
          <w:lang w:val="en-US"/>
        </w:rPr>
        <w:t>has to wait</w:t>
      </w:r>
      <w:r w:rsidR="004C612C">
        <w:rPr>
          <w:lang w:val="en-US"/>
        </w:rPr>
        <w:t xml:space="preserve"> </w:t>
      </w:r>
      <w:r w:rsidR="003B226F">
        <w:rPr>
          <w:lang w:val="en-US"/>
        </w:rPr>
        <w:t>al</w:t>
      </w:r>
      <w:r w:rsidR="004C612C">
        <w:rPr>
          <w:lang w:val="en-US"/>
        </w:rPr>
        <w:t>though the gNB can recover that SCell through signal</w:t>
      </w:r>
      <w:r w:rsidR="003B226F">
        <w:rPr>
          <w:lang w:val="en-US"/>
        </w:rPr>
        <w:t>ing on other CC</w:t>
      </w:r>
      <w:r w:rsidR="004C612C">
        <w:rPr>
          <w:lang w:val="en-US"/>
        </w:rPr>
        <w:t>.</w:t>
      </w:r>
    </w:p>
    <w:p w14:paraId="711AF9A2" w14:textId="01CB29EF" w:rsidR="004C612C" w:rsidRDefault="00343033" w:rsidP="004C612C">
      <w:pPr>
        <w:pStyle w:val="0Maintext"/>
        <w:numPr>
          <w:ilvl w:val="0"/>
          <w:numId w:val="40"/>
        </w:numPr>
        <w:spacing w:after="120" w:afterAutospacing="0"/>
        <w:rPr>
          <w:lang w:val="en-US"/>
        </w:rPr>
      </w:pPr>
      <w:r>
        <w:rPr>
          <w:lang w:val="en-US"/>
        </w:rPr>
        <w:t>Alt2 (</w:t>
      </w:r>
      <w:r w:rsidR="004C612C">
        <w:rPr>
          <w:lang w:val="en-US"/>
        </w:rPr>
        <w:t>SCell BFRQ is transmit</w:t>
      </w:r>
      <w:r>
        <w:rPr>
          <w:lang w:val="en-US"/>
        </w:rPr>
        <w:t>ted if UE declares beam failure):</w:t>
      </w:r>
      <w:r w:rsidR="004C612C">
        <w:rPr>
          <w:lang w:val="en-US"/>
        </w:rPr>
        <w:t xml:space="preserve"> This </w:t>
      </w:r>
      <w:r w:rsidR="007D12EA">
        <w:rPr>
          <w:lang w:val="en-US"/>
        </w:rPr>
        <w:t>scheme</w:t>
      </w:r>
      <w:r w:rsidR="004C612C">
        <w:rPr>
          <w:lang w:val="en-US"/>
        </w:rPr>
        <w:t xml:space="preserve"> </w:t>
      </w:r>
      <w:r w:rsidR="007D12EA">
        <w:rPr>
          <w:lang w:val="en-US"/>
        </w:rPr>
        <w:t xml:space="preserve">results in </w:t>
      </w:r>
      <w:r w:rsidR="004C612C">
        <w:rPr>
          <w:lang w:val="en-US"/>
        </w:rPr>
        <w:t xml:space="preserve">the shortest latency for reporting SCell beam failure. Once the gNB is aware of beam failure in one SCell, the gNB can operate accordingly. </w:t>
      </w:r>
      <w:r w:rsidR="007D12EA">
        <w:rPr>
          <w:lang w:val="en-US"/>
        </w:rPr>
        <w:t xml:space="preserve">Using the </w:t>
      </w:r>
      <w:r w:rsidR="00C47B87">
        <w:rPr>
          <w:lang w:val="en-US"/>
        </w:rPr>
        <w:t xml:space="preserve">most </w:t>
      </w:r>
      <w:r w:rsidR="007D12EA">
        <w:rPr>
          <w:lang w:val="en-US"/>
        </w:rPr>
        <w:t>recent</w:t>
      </w:r>
      <w:r w:rsidR="00266E57">
        <w:rPr>
          <w:lang w:val="en-US"/>
        </w:rPr>
        <w:t xml:space="preserve"> beam</w:t>
      </w:r>
      <w:r w:rsidR="004C612C">
        <w:rPr>
          <w:lang w:val="en-US"/>
        </w:rPr>
        <w:t xml:space="preserve"> reporting, the gNB can switch</w:t>
      </w:r>
      <w:r w:rsidR="00C47B87">
        <w:rPr>
          <w:lang w:val="en-US"/>
        </w:rPr>
        <w:t xml:space="preserve"> from</w:t>
      </w:r>
      <w:r w:rsidR="004C612C">
        <w:rPr>
          <w:lang w:val="en-US"/>
        </w:rPr>
        <w:t xml:space="preserve"> the PDCCH </w:t>
      </w:r>
      <w:r w:rsidR="00C47B87">
        <w:rPr>
          <w:lang w:val="en-US"/>
        </w:rPr>
        <w:t xml:space="preserve">beam of </w:t>
      </w:r>
      <w:r w:rsidR="004C612C">
        <w:rPr>
          <w:lang w:val="en-US"/>
        </w:rPr>
        <w:t xml:space="preserve">that SCell to </w:t>
      </w:r>
      <w:r w:rsidR="00C47B87">
        <w:rPr>
          <w:lang w:val="en-US"/>
        </w:rPr>
        <w:t>a good Tx beams.</w:t>
      </w:r>
      <w:r w:rsidR="004C612C">
        <w:rPr>
          <w:lang w:val="en-US"/>
        </w:rPr>
        <w:t xml:space="preserve"> </w:t>
      </w:r>
      <w:r w:rsidR="00C47B87">
        <w:rPr>
          <w:lang w:val="en-US"/>
        </w:rPr>
        <w:t>Without an</w:t>
      </w:r>
      <w:r w:rsidR="004C612C">
        <w:rPr>
          <w:lang w:val="en-US"/>
        </w:rPr>
        <w:t xml:space="preserve"> up-to-date beam reporting, the gNB can </w:t>
      </w:r>
      <w:r w:rsidR="00C47B87">
        <w:rPr>
          <w:lang w:val="en-US"/>
        </w:rPr>
        <w:t xml:space="preserve">still </w:t>
      </w:r>
      <w:r w:rsidR="004C612C">
        <w:rPr>
          <w:lang w:val="en-US"/>
        </w:rPr>
        <w:t xml:space="preserve">trigger a new beam measurement and reporting and then </w:t>
      </w:r>
      <w:r w:rsidR="00C47B87">
        <w:rPr>
          <w:lang w:val="en-US"/>
        </w:rPr>
        <w:t xml:space="preserve">perform </w:t>
      </w:r>
      <w:r w:rsidR="004C612C">
        <w:rPr>
          <w:lang w:val="en-US"/>
        </w:rPr>
        <w:t xml:space="preserve">beam </w:t>
      </w:r>
      <w:r w:rsidR="00C47B87">
        <w:rPr>
          <w:lang w:val="en-US"/>
        </w:rPr>
        <w:t>switching afterwards</w:t>
      </w:r>
      <w:r w:rsidR="004C612C">
        <w:rPr>
          <w:lang w:val="en-US"/>
        </w:rPr>
        <w:t>.</w:t>
      </w:r>
    </w:p>
    <w:p w14:paraId="32E7A461" w14:textId="090A41C5" w:rsidR="004C612C" w:rsidRDefault="00343033" w:rsidP="004C612C">
      <w:pPr>
        <w:pStyle w:val="0Maintext"/>
        <w:numPr>
          <w:ilvl w:val="0"/>
          <w:numId w:val="40"/>
        </w:numPr>
        <w:spacing w:after="120" w:afterAutospacing="0"/>
        <w:rPr>
          <w:lang w:val="en-US"/>
        </w:rPr>
      </w:pPr>
      <w:r>
        <w:rPr>
          <w:lang w:val="en-US"/>
        </w:rPr>
        <w:t>Alt3 (</w:t>
      </w:r>
      <w:r w:rsidR="004C612C">
        <w:rPr>
          <w:lang w:val="en-US"/>
        </w:rPr>
        <w:t>SCell BFRQ is transmit</w:t>
      </w:r>
      <w:r>
        <w:rPr>
          <w:lang w:val="en-US"/>
        </w:rPr>
        <w:t>t</w:t>
      </w:r>
      <w:r w:rsidR="00C779B3">
        <w:rPr>
          <w:lang w:val="en-US"/>
        </w:rPr>
        <w:t>ed if UE declares beam failure with</w:t>
      </w:r>
      <w:r w:rsidR="004C612C">
        <w:rPr>
          <w:lang w:val="en-US"/>
        </w:rPr>
        <w:t xml:space="preserve"> UE report</w:t>
      </w:r>
      <w:r w:rsidR="00C779B3">
        <w:rPr>
          <w:lang w:val="en-US"/>
        </w:rPr>
        <w:t>ing</w:t>
      </w:r>
      <w:r w:rsidR="004C612C">
        <w:rPr>
          <w:lang w:val="en-US"/>
        </w:rPr>
        <w:t xml:space="preserve"> new beam</w:t>
      </w:r>
      <w:r w:rsidR="00C779B3">
        <w:rPr>
          <w:lang w:val="en-US"/>
        </w:rPr>
        <w:t xml:space="preserve"> indicator):</w:t>
      </w:r>
      <w:r w:rsidR="004C612C">
        <w:rPr>
          <w:lang w:val="en-US"/>
        </w:rPr>
        <w:t xml:space="preserve"> As we discussed above, the new beam identification function is not needed for SCell beam failure. Compared to Alt2, Alt3 </w:t>
      </w:r>
      <w:r w:rsidR="00C779B3">
        <w:rPr>
          <w:lang w:val="en-US"/>
        </w:rPr>
        <w:t>can be beneficial only when</w:t>
      </w:r>
      <w:r w:rsidR="004C612C">
        <w:rPr>
          <w:lang w:val="en-US"/>
        </w:rPr>
        <w:t xml:space="preserve"> the gNB does</w:t>
      </w:r>
      <w:r w:rsidR="00C779B3">
        <w:rPr>
          <w:lang w:val="en-US"/>
        </w:rPr>
        <w:t xml:space="preserve"> not</w:t>
      </w:r>
      <w:r w:rsidR="004C612C">
        <w:rPr>
          <w:lang w:val="en-US"/>
        </w:rPr>
        <w:t xml:space="preserve"> have up-to-date beam reporting</w:t>
      </w:r>
      <w:r w:rsidR="00C779B3">
        <w:rPr>
          <w:lang w:val="en-US"/>
        </w:rPr>
        <w:t>. However, in that case the gNB can still trigger</w:t>
      </w:r>
      <w:r w:rsidR="004C612C">
        <w:rPr>
          <w:lang w:val="en-US"/>
        </w:rPr>
        <w:t xml:space="preserve"> aperiodic beam reporting.  </w:t>
      </w:r>
    </w:p>
    <w:p w14:paraId="7B99DFB2" w14:textId="1A0C3A74" w:rsidR="004C612C" w:rsidRDefault="004C612C" w:rsidP="004C612C">
      <w:pPr>
        <w:pStyle w:val="0Maintext"/>
        <w:rPr>
          <w:lang w:val="en-US"/>
        </w:rPr>
      </w:pPr>
      <w:r>
        <w:rPr>
          <w:lang w:val="en-US"/>
        </w:rPr>
        <w:t>Therefore, Alt2 is preferred When beam failure happens in one SCell, the UE can report that event in BFRQ to the gNB and the gNB would use normal multi-beam operation to switch the PDCCH beam in that SCell. When beam failure happens in one SCell, the only information the gNB must know is</w:t>
      </w:r>
      <w:r w:rsidR="00C55529">
        <w:rPr>
          <w:lang w:val="en-US"/>
        </w:rPr>
        <w:t xml:space="preserve"> the index(es) failed</w:t>
      </w:r>
      <w:r>
        <w:rPr>
          <w:lang w:val="en-US"/>
        </w:rPr>
        <w:t xml:space="preserve"> SCell(s)</w:t>
      </w:r>
      <w:r w:rsidR="00C55529">
        <w:rPr>
          <w:lang w:val="en-US"/>
        </w:rPr>
        <w:t xml:space="preserve">. </w:t>
      </w:r>
      <w:r>
        <w:rPr>
          <w:lang w:val="en-US"/>
        </w:rPr>
        <w:t>The BFRQ message does not include new beam information, as discussed above.</w:t>
      </w:r>
    </w:p>
    <w:p w14:paraId="5927B449" w14:textId="715B1667" w:rsidR="004C612C" w:rsidRDefault="004C612C" w:rsidP="004C612C">
      <w:pPr>
        <w:pStyle w:val="0Maintext"/>
        <w:spacing w:after="120" w:afterAutospacing="0"/>
        <w:ind w:firstLine="0"/>
        <w:rPr>
          <w:i/>
          <w:lang w:val="en-US"/>
        </w:rPr>
      </w:pPr>
      <w:r w:rsidRPr="00E5152C">
        <w:rPr>
          <w:b/>
          <w:u w:val="single"/>
          <w:lang w:val="en-US"/>
        </w:rPr>
        <w:t>Proposal</w:t>
      </w:r>
      <w:r w:rsidRPr="00E5152C">
        <w:rPr>
          <w:lang w:val="en-US"/>
        </w:rPr>
        <w:t xml:space="preserve">: </w:t>
      </w:r>
      <w:r w:rsidRPr="00E5152C">
        <w:rPr>
          <w:i/>
          <w:lang w:val="en-US"/>
        </w:rPr>
        <w:t xml:space="preserve">For SCell BFR, </w:t>
      </w:r>
      <w:r>
        <w:rPr>
          <w:i/>
          <w:lang w:val="en-US"/>
        </w:rPr>
        <w:t>BFRQ is transmitted when the UE declares SCell beam failure</w:t>
      </w:r>
    </w:p>
    <w:p w14:paraId="4D379007" w14:textId="16D55579" w:rsidR="002F3F46" w:rsidRDefault="002F3F46" w:rsidP="004C612C">
      <w:pPr>
        <w:pStyle w:val="0Maintext"/>
        <w:numPr>
          <w:ilvl w:val="0"/>
          <w:numId w:val="42"/>
        </w:numPr>
        <w:spacing w:after="120" w:afterAutospacing="0"/>
        <w:rPr>
          <w:i/>
          <w:lang w:val="en-US"/>
        </w:rPr>
      </w:pPr>
      <w:r>
        <w:rPr>
          <w:i/>
          <w:lang w:val="en-US"/>
        </w:rPr>
        <w:t>T</w:t>
      </w:r>
      <w:r w:rsidR="004C612C">
        <w:rPr>
          <w:i/>
          <w:lang w:val="en-US"/>
        </w:rPr>
        <w:t xml:space="preserve">he BFRQ only indicates the event of SCell beam failure and the index(es) of failed CC(s); </w:t>
      </w:r>
    </w:p>
    <w:p w14:paraId="633C41D7" w14:textId="46B561BE" w:rsidR="004C612C" w:rsidRDefault="002F3F46" w:rsidP="002F3F46">
      <w:pPr>
        <w:pStyle w:val="0Maintext"/>
        <w:numPr>
          <w:ilvl w:val="1"/>
          <w:numId w:val="42"/>
        </w:numPr>
        <w:spacing w:after="120" w:afterAutospacing="0"/>
        <w:rPr>
          <w:i/>
          <w:lang w:val="en-US"/>
        </w:rPr>
      </w:pPr>
      <w:r>
        <w:rPr>
          <w:i/>
          <w:lang w:val="en-US"/>
        </w:rPr>
        <w:t>N</w:t>
      </w:r>
      <w:r w:rsidR="004C612C">
        <w:rPr>
          <w:i/>
          <w:lang w:val="en-US"/>
        </w:rPr>
        <w:t xml:space="preserve">o other information </w:t>
      </w:r>
      <w:r>
        <w:rPr>
          <w:i/>
          <w:lang w:val="en-US"/>
        </w:rPr>
        <w:t xml:space="preserve">such as NBI </w:t>
      </w:r>
      <w:r w:rsidR="004C612C">
        <w:rPr>
          <w:i/>
          <w:lang w:val="en-US"/>
        </w:rPr>
        <w:t>is carried.</w:t>
      </w:r>
    </w:p>
    <w:p w14:paraId="19B6AF79" w14:textId="7D0CBF5D" w:rsidR="004C612C" w:rsidRDefault="002F3F46" w:rsidP="004C612C">
      <w:pPr>
        <w:pStyle w:val="0Maintext"/>
        <w:numPr>
          <w:ilvl w:val="0"/>
          <w:numId w:val="41"/>
        </w:numPr>
        <w:spacing w:after="120" w:afterAutospacing="0"/>
        <w:rPr>
          <w:i/>
          <w:lang w:val="en-US"/>
        </w:rPr>
      </w:pPr>
      <w:r>
        <w:rPr>
          <w:i/>
          <w:lang w:val="en-US"/>
        </w:rPr>
        <w:t>T</w:t>
      </w:r>
      <w:r w:rsidR="004C612C" w:rsidRPr="00624880">
        <w:rPr>
          <w:i/>
          <w:lang w:val="en-US"/>
        </w:rPr>
        <w:t>he index</w:t>
      </w:r>
      <w:r w:rsidR="004C612C">
        <w:rPr>
          <w:i/>
          <w:lang w:val="en-US"/>
        </w:rPr>
        <w:t>(es)</w:t>
      </w:r>
      <w:r w:rsidR="004C612C" w:rsidRPr="00624880">
        <w:rPr>
          <w:i/>
          <w:lang w:val="en-US"/>
        </w:rPr>
        <w:t xml:space="preserve"> of failed CC</w:t>
      </w:r>
      <w:r w:rsidR="004C612C">
        <w:rPr>
          <w:i/>
          <w:lang w:val="en-US"/>
        </w:rPr>
        <w:t>(s)</w:t>
      </w:r>
      <w:r w:rsidR="004C612C" w:rsidRPr="00624880">
        <w:rPr>
          <w:i/>
          <w:lang w:val="en-US"/>
        </w:rPr>
        <w:t xml:space="preserve"> is explicitly conveyed in BFRQ message. </w:t>
      </w:r>
    </w:p>
    <w:p w14:paraId="10766AAF" w14:textId="77777777" w:rsidR="004C612C" w:rsidRPr="00E5152C" w:rsidRDefault="004C612C" w:rsidP="004C612C">
      <w:pPr>
        <w:pStyle w:val="0Maintext"/>
        <w:rPr>
          <w:lang w:val="en-US"/>
        </w:rPr>
      </w:pPr>
      <w:r>
        <w:rPr>
          <w:lang w:val="en-US"/>
        </w:rPr>
        <w:t>We have various deployment scenarios for SCell beam failure: SCell with both DL/UL, SCell with DL only, PCell in FR1 and PCell in FR2. Even though w</w:t>
      </w:r>
      <w:r w:rsidRPr="00940EF0">
        <w:rPr>
          <w:lang w:val="en-US"/>
        </w:rPr>
        <w:t>e reached agreement to decide beam failure soluti</w:t>
      </w:r>
      <w:r>
        <w:rPr>
          <w:lang w:val="en-US"/>
        </w:rPr>
        <w:t>on for SCell with DL only first, we shall target a single SCell beam failure recovery scheme for all the deployment scenarios. Regarding the mechanism for</w:t>
      </w:r>
      <w:r w:rsidRPr="00E5152C">
        <w:rPr>
          <w:lang w:val="en-US"/>
        </w:rPr>
        <w:t xml:space="preserve"> transmitting </w:t>
      </w:r>
      <w:r>
        <w:rPr>
          <w:lang w:val="en-US"/>
        </w:rPr>
        <w:t xml:space="preserve">SCell </w:t>
      </w:r>
      <w:r w:rsidRPr="00E5152C">
        <w:rPr>
          <w:lang w:val="en-US"/>
        </w:rPr>
        <w:t xml:space="preserve">BFR request, the following alternatives </w:t>
      </w:r>
      <w:r>
        <w:rPr>
          <w:lang w:val="en-US"/>
        </w:rPr>
        <w:t>have been proposed</w:t>
      </w:r>
      <w:r w:rsidRPr="00E5152C">
        <w:rPr>
          <w:lang w:val="en-US"/>
        </w:rPr>
        <w:t>:</w:t>
      </w:r>
    </w:p>
    <w:p w14:paraId="29E7781E" w14:textId="77777777" w:rsidR="004C612C" w:rsidRPr="00E5152C" w:rsidRDefault="004C612C" w:rsidP="004C612C">
      <w:pPr>
        <w:pStyle w:val="0Maintext"/>
        <w:numPr>
          <w:ilvl w:val="0"/>
          <w:numId w:val="17"/>
        </w:numPr>
        <w:spacing w:after="120" w:afterAutospacing="0"/>
        <w:rPr>
          <w:lang w:val="en-US"/>
        </w:rPr>
      </w:pPr>
      <w:r w:rsidRPr="00E5152C">
        <w:rPr>
          <w:lang w:val="en-US"/>
        </w:rPr>
        <w:t xml:space="preserve">Alt-1: The UE uses contention-free RACH configured on the UL of that SCell to transmit the BFR request and then monitors </w:t>
      </w:r>
      <w:r>
        <w:rPr>
          <w:lang w:val="en-US"/>
        </w:rPr>
        <w:t xml:space="preserve">the </w:t>
      </w:r>
      <w:r w:rsidRPr="00E5152C">
        <w:rPr>
          <w:lang w:val="en-US"/>
        </w:rPr>
        <w:t xml:space="preserve">gNB response on CORESET-BFR configured in that SCell. </w:t>
      </w:r>
    </w:p>
    <w:p w14:paraId="2FF7E7BF" w14:textId="77777777" w:rsidR="004C612C" w:rsidRPr="00E5152C" w:rsidRDefault="004C612C" w:rsidP="004C612C">
      <w:pPr>
        <w:pStyle w:val="0Maintext"/>
        <w:numPr>
          <w:ilvl w:val="0"/>
          <w:numId w:val="17"/>
        </w:numPr>
        <w:spacing w:after="120" w:afterAutospacing="0"/>
        <w:rPr>
          <w:lang w:val="en-US"/>
        </w:rPr>
      </w:pPr>
      <w:r w:rsidRPr="00E5152C">
        <w:rPr>
          <w:lang w:val="en-US"/>
        </w:rPr>
        <w:t xml:space="preserve">Alt-2: The UE uses contention-free RACH configured on the UL of that SCell to transmit the BFR request and then monitors the gNB response </w:t>
      </w:r>
      <w:r>
        <w:rPr>
          <w:lang w:val="en-US"/>
        </w:rPr>
        <w:t xml:space="preserve">on </w:t>
      </w:r>
      <w:r w:rsidRPr="00E5152C">
        <w:rPr>
          <w:lang w:val="en-US"/>
        </w:rPr>
        <w:t>CORESET-BFR of PCell.</w:t>
      </w:r>
    </w:p>
    <w:p w14:paraId="548263DA" w14:textId="77777777" w:rsidR="004C612C" w:rsidRPr="00E5152C" w:rsidRDefault="004C612C" w:rsidP="004C612C">
      <w:pPr>
        <w:pStyle w:val="0Maintext"/>
        <w:numPr>
          <w:ilvl w:val="0"/>
          <w:numId w:val="17"/>
        </w:numPr>
        <w:spacing w:after="120" w:afterAutospacing="0"/>
        <w:rPr>
          <w:lang w:val="en-US"/>
        </w:rPr>
      </w:pPr>
      <w:r w:rsidRPr="00E5152C">
        <w:rPr>
          <w:lang w:val="en-US"/>
        </w:rPr>
        <w:lastRenderedPageBreak/>
        <w:t xml:space="preserve">Alt-3: The UE uses contention-free RACH on the UL of PCell to transmit the BFR request for </w:t>
      </w:r>
      <w:r>
        <w:rPr>
          <w:lang w:val="en-US"/>
        </w:rPr>
        <w:t>the</w:t>
      </w:r>
      <w:r w:rsidRPr="00E5152C">
        <w:rPr>
          <w:lang w:val="en-US"/>
        </w:rPr>
        <w:t xml:space="preserve"> SCell and monitors the gNB response on PCell.</w:t>
      </w:r>
    </w:p>
    <w:p w14:paraId="293D7764" w14:textId="77777777" w:rsidR="004C612C" w:rsidRDefault="004C612C" w:rsidP="004C612C">
      <w:pPr>
        <w:pStyle w:val="0Maintext"/>
        <w:numPr>
          <w:ilvl w:val="0"/>
          <w:numId w:val="17"/>
        </w:numPr>
        <w:spacing w:after="120" w:afterAutospacing="0"/>
        <w:rPr>
          <w:lang w:val="en-US"/>
        </w:rPr>
      </w:pPr>
      <w:r w:rsidRPr="00E5152C">
        <w:rPr>
          <w:lang w:val="en-US"/>
        </w:rPr>
        <w:t>Alt-4: The UE uses MAC-CE message to report SCell beam failure.</w:t>
      </w:r>
    </w:p>
    <w:p w14:paraId="3619FEF6" w14:textId="77777777" w:rsidR="004C612C" w:rsidRPr="00E5152C" w:rsidRDefault="004C612C" w:rsidP="004C612C">
      <w:pPr>
        <w:pStyle w:val="0Maintext"/>
        <w:numPr>
          <w:ilvl w:val="0"/>
          <w:numId w:val="17"/>
        </w:numPr>
        <w:spacing w:after="120" w:afterAutospacing="0"/>
        <w:rPr>
          <w:lang w:val="en-US"/>
        </w:rPr>
      </w:pPr>
      <w:r>
        <w:rPr>
          <w:lang w:val="en-US"/>
        </w:rPr>
        <w:t>Alt-5: The UE uses PUCCH to report SCell beam failure.</w:t>
      </w:r>
    </w:p>
    <w:p w14:paraId="1E56EFB9" w14:textId="77777777" w:rsidR="004C612C" w:rsidRPr="00E5152C" w:rsidRDefault="004C612C" w:rsidP="004C612C">
      <w:pPr>
        <w:pStyle w:val="0Maintext"/>
        <w:spacing w:after="120" w:afterAutospacing="0"/>
        <w:rPr>
          <w:lang w:val="en-US"/>
        </w:rPr>
      </w:pPr>
      <w:r w:rsidRPr="00E5152C">
        <w:rPr>
          <w:lang w:val="en-US"/>
        </w:rPr>
        <w:t>We can evaluate and compare the alternatives in various deployment scenarios.</w:t>
      </w:r>
    </w:p>
    <w:tbl>
      <w:tblPr>
        <w:tblStyle w:val="GridTable4-Accent51"/>
        <w:tblW w:w="0" w:type="auto"/>
        <w:tblLook w:val="04A0" w:firstRow="1" w:lastRow="0" w:firstColumn="1" w:lastColumn="0" w:noHBand="0" w:noVBand="1"/>
      </w:tblPr>
      <w:tblGrid>
        <w:gridCol w:w="1255"/>
        <w:gridCol w:w="1440"/>
        <w:gridCol w:w="1350"/>
        <w:gridCol w:w="3870"/>
        <w:gridCol w:w="1714"/>
      </w:tblGrid>
      <w:tr w:rsidR="004C612C" w:rsidRPr="00E5152C" w14:paraId="0DFEB6C6" w14:textId="77777777" w:rsidTr="00137F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08374335" w14:textId="77777777" w:rsidR="004C612C" w:rsidRPr="00E5152C" w:rsidRDefault="004C612C" w:rsidP="00137FC7">
            <w:pPr>
              <w:pStyle w:val="0Maintext"/>
              <w:spacing w:after="120" w:afterAutospacing="0"/>
              <w:ind w:firstLine="0"/>
              <w:rPr>
                <w:lang w:val="en-US"/>
              </w:rPr>
            </w:pPr>
          </w:p>
        </w:tc>
        <w:tc>
          <w:tcPr>
            <w:tcW w:w="1440" w:type="dxa"/>
          </w:tcPr>
          <w:p w14:paraId="4B1A082B" w14:textId="77777777" w:rsidR="004C612C" w:rsidRPr="00E5152C" w:rsidRDefault="004C612C" w:rsidP="00137FC7">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DL-only SCell</w:t>
            </w:r>
          </w:p>
        </w:tc>
        <w:tc>
          <w:tcPr>
            <w:tcW w:w="1350" w:type="dxa"/>
          </w:tcPr>
          <w:p w14:paraId="40B83123" w14:textId="77777777" w:rsidR="004C612C" w:rsidRPr="00E5152C" w:rsidRDefault="004C612C" w:rsidP="00137FC7">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SCell with both DL/UL</w:t>
            </w:r>
          </w:p>
        </w:tc>
        <w:tc>
          <w:tcPr>
            <w:tcW w:w="3870" w:type="dxa"/>
          </w:tcPr>
          <w:p w14:paraId="7541EB8C" w14:textId="77777777" w:rsidR="004C612C" w:rsidRPr="00E5152C" w:rsidRDefault="004C612C" w:rsidP="00137FC7">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FR1 and SCell in FR2</w:t>
            </w:r>
          </w:p>
        </w:tc>
        <w:tc>
          <w:tcPr>
            <w:tcW w:w="1714" w:type="dxa"/>
          </w:tcPr>
          <w:p w14:paraId="7CF63FE9" w14:textId="77777777" w:rsidR="004C612C" w:rsidRPr="00E5152C" w:rsidRDefault="004C612C" w:rsidP="00137FC7">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FR2 and SCell in FR2</w:t>
            </w:r>
          </w:p>
        </w:tc>
      </w:tr>
      <w:tr w:rsidR="004C612C" w:rsidRPr="00E5152C" w14:paraId="28BFE5EB" w14:textId="77777777" w:rsidTr="00137F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FB67768" w14:textId="77777777" w:rsidR="004C612C" w:rsidRPr="00E5152C" w:rsidRDefault="004C612C" w:rsidP="00137FC7">
            <w:pPr>
              <w:pStyle w:val="0Maintext"/>
              <w:spacing w:after="120" w:afterAutospacing="0"/>
              <w:ind w:firstLine="0"/>
              <w:jc w:val="left"/>
              <w:rPr>
                <w:lang w:val="en-US"/>
              </w:rPr>
            </w:pPr>
            <w:r w:rsidRPr="00E5152C">
              <w:rPr>
                <w:lang w:val="en-US"/>
              </w:rPr>
              <w:t>Alt</w:t>
            </w:r>
            <w:r>
              <w:rPr>
                <w:lang w:val="en-US"/>
              </w:rPr>
              <w:t>.</w:t>
            </w:r>
            <w:r w:rsidRPr="00E5152C">
              <w:rPr>
                <w:lang w:val="en-US"/>
              </w:rPr>
              <w:t>1</w:t>
            </w:r>
          </w:p>
        </w:tc>
        <w:tc>
          <w:tcPr>
            <w:tcW w:w="1440" w:type="dxa"/>
          </w:tcPr>
          <w:p w14:paraId="160FDACD"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No support (no SCell UL)</w:t>
            </w:r>
          </w:p>
        </w:tc>
        <w:tc>
          <w:tcPr>
            <w:tcW w:w="1350" w:type="dxa"/>
          </w:tcPr>
          <w:p w14:paraId="7949B46C"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1B9B9E27"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c>
          <w:tcPr>
            <w:tcW w:w="1714" w:type="dxa"/>
          </w:tcPr>
          <w:p w14:paraId="3C0F0F04"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r>
      <w:tr w:rsidR="004C612C" w:rsidRPr="00E5152C" w14:paraId="133CB4E0" w14:textId="77777777" w:rsidTr="00137FC7">
        <w:tc>
          <w:tcPr>
            <w:cnfStyle w:val="001000000000" w:firstRow="0" w:lastRow="0" w:firstColumn="1" w:lastColumn="0" w:oddVBand="0" w:evenVBand="0" w:oddHBand="0" w:evenHBand="0" w:firstRowFirstColumn="0" w:firstRowLastColumn="0" w:lastRowFirstColumn="0" w:lastRowLastColumn="0"/>
            <w:tcW w:w="1255" w:type="dxa"/>
          </w:tcPr>
          <w:p w14:paraId="64E43D90" w14:textId="77777777" w:rsidR="004C612C" w:rsidRPr="00E5152C" w:rsidRDefault="004C612C" w:rsidP="00137FC7">
            <w:pPr>
              <w:pStyle w:val="0Maintext"/>
              <w:spacing w:after="120" w:afterAutospacing="0"/>
              <w:ind w:firstLine="0"/>
              <w:jc w:val="left"/>
              <w:rPr>
                <w:lang w:val="en-US"/>
              </w:rPr>
            </w:pPr>
            <w:r w:rsidRPr="00E5152C">
              <w:rPr>
                <w:lang w:val="en-US"/>
              </w:rPr>
              <w:t>Alt</w:t>
            </w:r>
            <w:r>
              <w:rPr>
                <w:lang w:val="en-US"/>
              </w:rPr>
              <w:t>.</w:t>
            </w:r>
            <w:r w:rsidRPr="00E5152C">
              <w:rPr>
                <w:lang w:val="en-US"/>
              </w:rPr>
              <w:t>2</w:t>
            </w:r>
          </w:p>
        </w:tc>
        <w:tc>
          <w:tcPr>
            <w:tcW w:w="1440" w:type="dxa"/>
          </w:tcPr>
          <w:p w14:paraId="231AAB4F"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No support (no SCell UL)</w:t>
            </w:r>
          </w:p>
        </w:tc>
        <w:tc>
          <w:tcPr>
            <w:tcW w:w="1350" w:type="dxa"/>
          </w:tcPr>
          <w:p w14:paraId="512AC20D"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70634A15"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c>
          <w:tcPr>
            <w:tcW w:w="1714" w:type="dxa"/>
          </w:tcPr>
          <w:p w14:paraId="2C1DEDE8"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r>
      <w:tr w:rsidR="004C612C" w:rsidRPr="00E5152C" w14:paraId="51A028FC" w14:textId="77777777" w:rsidTr="00137F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1AF3B5D1" w14:textId="77777777" w:rsidR="004C612C" w:rsidRPr="00E5152C" w:rsidRDefault="004C612C" w:rsidP="00137FC7">
            <w:pPr>
              <w:pStyle w:val="0Maintext"/>
              <w:spacing w:after="120" w:afterAutospacing="0"/>
              <w:ind w:firstLine="0"/>
              <w:jc w:val="left"/>
              <w:rPr>
                <w:lang w:val="en-US"/>
              </w:rPr>
            </w:pPr>
            <w:r w:rsidRPr="00E5152C">
              <w:rPr>
                <w:lang w:val="en-US"/>
              </w:rPr>
              <w:t>Alt</w:t>
            </w:r>
            <w:r>
              <w:rPr>
                <w:lang w:val="en-US"/>
              </w:rPr>
              <w:t>.</w:t>
            </w:r>
            <w:r w:rsidRPr="00E5152C">
              <w:rPr>
                <w:lang w:val="en-US"/>
              </w:rPr>
              <w:t>3</w:t>
            </w:r>
          </w:p>
        </w:tc>
        <w:tc>
          <w:tcPr>
            <w:tcW w:w="1440" w:type="dxa"/>
          </w:tcPr>
          <w:p w14:paraId="1292CE7F"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2508A120"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571A0AEF"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 xml:space="preserve">Support but with excessive RACH resource usage. </w:t>
            </w:r>
          </w:p>
          <w:p w14:paraId="1D226983"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To support BFR of SCell, we would need configure N</w:t>
            </w:r>
            <w:r w:rsidRPr="00E5152C">
              <w:rPr>
                <w:vertAlign w:val="subscript"/>
                <w:lang w:val="en-US"/>
              </w:rPr>
              <w:t>new</w:t>
            </w:r>
            <w:r w:rsidRPr="00E5152C">
              <w:rPr>
                <w:lang w:val="en-US"/>
              </w:rPr>
              <w:t xml:space="preserve"> </w:t>
            </w:r>
            <w:r w:rsidRPr="00E5152C">
              <w:rPr>
                <w:rFonts w:cs="Times New Roman"/>
                <w:lang w:val="en-US"/>
              </w:rPr>
              <w:t>×</w:t>
            </w:r>
            <w:r w:rsidRPr="00E5152C">
              <w:rPr>
                <w:lang w:val="en-US"/>
              </w:rPr>
              <w:t xml:space="preserve"> N</w:t>
            </w:r>
            <w:r w:rsidRPr="00E5152C">
              <w:rPr>
                <w:vertAlign w:val="subscript"/>
                <w:lang w:val="en-US"/>
              </w:rPr>
              <w:t xml:space="preserve">Scell </w:t>
            </w:r>
            <w:r w:rsidRPr="00E5152C">
              <w:rPr>
                <w:lang w:val="en-US"/>
              </w:rPr>
              <w:t>RACH resources in PCell for each UE to the association between RACH resources and Tx beams (the number of Tx beams could be large). Typically, the association between RACH resources and large number of Tx beam is not needed since PCell is in FR1.</w:t>
            </w:r>
          </w:p>
          <w:p w14:paraId="4C3695A4"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w:t>
            </w:r>
            <w:r w:rsidRPr="00E5152C">
              <w:rPr>
                <w:vertAlign w:val="subscript"/>
                <w:lang w:val="en-US"/>
              </w:rPr>
              <w:t xml:space="preserve">new </w:t>
            </w:r>
            <w:r w:rsidRPr="00E5152C">
              <w:rPr>
                <w:lang w:val="en-US"/>
              </w:rPr>
              <w:t>is the number of RSs in q</w:t>
            </w:r>
            <w:r w:rsidRPr="00E5152C">
              <w:rPr>
                <w:vertAlign w:val="subscript"/>
                <w:lang w:val="en-US"/>
              </w:rPr>
              <w:t>1</w:t>
            </w:r>
            <w:r w:rsidRPr="00E5152C">
              <w:rPr>
                <w:lang w:val="en-US"/>
              </w:rPr>
              <w:t xml:space="preserve"> and N</w:t>
            </w:r>
            <w:r w:rsidRPr="00E5152C">
              <w:rPr>
                <w:vertAlign w:val="subscript"/>
                <w:lang w:val="en-US"/>
              </w:rPr>
              <w:t>Scell</w:t>
            </w:r>
            <w:r w:rsidRPr="00E5152C">
              <w:rPr>
                <w:lang w:val="en-US"/>
              </w:rPr>
              <w:t xml:space="preserve"> is the number of SCells</w:t>
            </w:r>
          </w:p>
        </w:tc>
        <w:tc>
          <w:tcPr>
            <w:tcW w:w="1714" w:type="dxa"/>
          </w:tcPr>
          <w:p w14:paraId="65178041"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r w:rsidR="004C612C" w:rsidRPr="00E5152C" w14:paraId="57BF36B7" w14:textId="77777777" w:rsidTr="00137FC7">
        <w:tc>
          <w:tcPr>
            <w:cnfStyle w:val="001000000000" w:firstRow="0" w:lastRow="0" w:firstColumn="1" w:lastColumn="0" w:oddVBand="0" w:evenVBand="0" w:oddHBand="0" w:evenHBand="0" w:firstRowFirstColumn="0" w:firstRowLastColumn="0" w:lastRowFirstColumn="0" w:lastRowLastColumn="0"/>
            <w:tcW w:w="1255" w:type="dxa"/>
          </w:tcPr>
          <w:p w14:paraId="0851308E" w14:textId="77777777" w:rsidR="004C612C" w:rsidRPr="00E5152C" w:rsidRDefault="004C612C" w:rsidP="00137FC7">
            <w:pPr>
              <w:pStyle w:val="0Maintext"/>
              <w:spacing w:after="120" w:afterAutospacing="0"/>
              <w:ind w:firstLine="0"/>
              <w:jc w:val="left"/>
              <w:rPr>
                <w:lang w:val="en-US"/>
              </w:rPr>
            </w:pPr>
            <w:r w:rsidRPr="00E5152C">
              <w:rPr>
                <w:lang w:val="en-US"/>
              </w:rPr>
              <w:t>Alt</w:t>
            </w:r>
            <w:r>
              <w:rPr>
                <w:lang w:val="en-US"/>
              </w:rPr>
              <w:t>.</w:t>
            </w:r>
            <w:r w:rsidRPr="00E5152C">
              <w:rPr>
                <w:lang w:val="en-US"/>
              </w:rPr>
              <w:t>4</w:t>
            </w:r>
          </w:p>
        </w:tc>
        <w:tc>
          <w:tcPr>
            <w:tcW w:w="1440" w:type="dxa"/>
          </w:tcPr>
          <w:p w14:paraId="2DC0655E"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350" w:type="dxa"/>
          </w:tcPr>
          <w:p w14:paraId="48FDA050"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44FBFCBF"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714" w:type="dxa"/>
          </w:tcPr>
          <w:p w14:paraId="121C0381" w14:textId="77777777" w:rsidR="004C612C" w:rsidRPr="00E5152C" w:rsidRDefault="004C612C" w:rsidP="00137FC7">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r>
      <w:tr w:rsidR="004C612C" w:rsidRPr="00E5152C" w14:paraId="2470F816" w14:textId="77777777" w:rsidTr="00137F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5DA2F5ED" w14:textId="77777777" w:rsidR="004C612C" w:rsidRPr="00E5152C" w:rsidRDefault="004C612C" w:rsidP="00137FC7">
            <w:pPr>
              <w:pStyle w:val="0Maintext"/>
              <w:spacing w:after="120" w:afterAutospacing="0"/>
              <w:ind w:firstLine="0"/>
              <w:jc w:val="left"/>
              <w:rPr>
                <w:lang w:val="en-US"/>
              </w:rPr>
            </w:pPr>
            <w:r>
              <w:rPr>
                <w:lang w:val="en-US"/>
              </w:rPr>
              <w:t>Alt.5</w:t>
            </w:r>
          </w:p>
        </w:tc>
        <w:tc>
          <w:tcPr>
            <w:tcW w:w="1440" w:type="dxa"/>
          </w:tcPr>
          <w:p w14:paraId="4FC17112"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4B1B8F90"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7B5F60D9"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714" w:type="dxa"/>
          </w:tcPr>
          <w:p w14:paraId="1513675C" w14:textId="77777777" w:rsidR="004C612C" w:rsidRPr="00E5152C" w:rsidRDefault="004C612C" w:rsidP="00137FC7">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bl>
    <w:p w14:paraId="1CEA184B" w14:textId="77777777" w:rsidR="004C612C" w:rsidRDefault="004C612C" w:rsidP="004C612C">
      <w:pPr>
        <w:pStyle w:val="0Maintext"/>
        <w:spacing w:after="120" w:afterAutospacing="0"/>
        <w:rPr>
          <w:lang w:val="en-US"/>
        </w:rPr>
      </w:pPr>
    </w:p>
    <w:p w14:paraId="5BB2C6D7" w14:textId="77777777" w:rsidR="004C612C" w:rsidRPr="00E5152C" w:rsidRDefault="004C612C" w:rsidP="004C612C">
      <w:pPr>
        <w:pStyle w:val="0Maintext"/>
        <w:spacing w:after="120" w:afterAutospacing="0"/>
        <w:rPr>
          <w:lang w:val="en-US"/>
        </w:rPr>
      </w:pPr>
      <w:r>
        <w:rPr>
          <w:lang w:val="en-US"/>
        </w:rPr>
        <w:t>As evident, only Alt.</w:t>
      </w:r>
      <w:r w:rsidRPr="00E5152C">
        <w:rPr>
          <w:lang w:val="en-US"/>
        </w:rPr>
        <w:t>4</w:t>
      </w:r>
      <w:r>
        <w:rPr>
          <w:lang w:val="en-US"/>
        </w:rPr>
        <w:t xml:space="preserve"> and Alt.5 work</w:t>
      </w:r>
      <w:r w:rsidRPr="00E5152C">
        <w:rPr>
          <w:lang w:val="en-US"/>
        </w:rPr>
        <w:t xml:space="preserve"> </w:t>
      </w:r>
      <w:r>
        <w:rPr>
          <w:lang w:val="en-US"/>
        </w:rPr>
        <w:t xml:space="preserve">well </w:t>
      </w:r>
      <w:r w:rsidRPr="00E5152C">
        <w:rPr>
          <w:lang w:val="en-US"/>
        </w:rPr>
        <w:t>for all the deployment scenarios.</w:t>
      </w:r>
      <w:r>
        <w:rPr>
          <w:lang w:val="en-US"/>
        </w:rPr>
        <w:t xml:space="preserve"> While it is plausible to support different schemes for different scenarios, it adds to specification and/or deployment complexity. Therefore, it is preferred to support a single scheme that works for all scenarios.</w:t>
      </w:r>
    </w:p>
    <w:p w14:paraId="74831EE3" w14:textId="77777777" w:rsidR="004C612C" w:rsidRPr="00C87FE6" w:rsidRDefault="004C612C" w:rsidP="004C612C">
      <w:pPr>
        <w:pStyle w:val="0Maintext"/>
        <w:spacing w:after="120" w:afterAutospacing="0"/>
        <w:ind w:firstLine="0"/>
        <w:rPr>
          <w:lang w:val="en-US"/>
        </w:rPr>
      </w:pPr>
      <w:r w:rsidRPr="00E5152C">
        <w:rPr>
          <w:b/>
          <w:u w:val="single"/>
          <w:lang w:val="en-US"/>
        </w:rPr>
        <w:t>Observation</w:t>
      </w:r>
      <w:r w:rsidRPr="00E5152C">
        <w:rPr>
          <w:lang w:val="en-US"/>
        </w:rPr>
        <w:t xml:space="preserve">: </w:t>
      </w:r>
      <w:r w:rsidRPr="00C87FE6">
        <w:rPr>
          <w:i/>
          <w:lang w:val="en-US"/>
        </w:rPr>
        <w:t xml:space="preserve">Either Alt.4 (MAC-CE) or Alt.5 (PUCCH) </w:t>
      </w:r>
      <w:r>
        <w:rPr>
          <w:i/>
          <w:lang w:val="en-US"/>
        </w:rPr>
        <w:t>facilitates supporting a single scheme that works for all deployment scenarios.</w:t>
      </w:r>
      <w:r w:rsidRPr="00C87FE6">
        <w:rPr>
          <w:i/>
          <w:lang w:val="en-US"/>
        </w:rPr>
        <w:t xml:space="preserve"> </w:t>
      </w:r>
    </w:p>
    <w:p w14:paraId="6544E32C" w14:textId="77777777" w:rsidR="004C612C" w:rsidRPr="00E5152C" w:rsidRDefault="004C612C" w:rsidP="004C612C">
      <w:pPr>
        <w:pStyle w:val="0Maintext"/>
        <w:spacing w:after="120" w:afterAutospacing="0"/>
        <w:ind w:firstLine="0"/>
        <w:rPr>
          <w:lang w:val="en-US"/>
        </w:rPr>
      </w:pPr>
    </w:p>
    <w:p w14:paraId="1ECC00CE" w14:textId="77777777" w:rsidR="004C612C" w:rsidRDefault="004C612C" w:rsidP="004C612C">
      <w:pPr>
        <w:pStyle w:val="Style1"/>
        <w:spacing w:after="120"/>
        <w:rPr>
          <w:lang w:val="en-US"/>
        </w:rPr>
      </w:pPr>
      <w:r>
        <w:rPr>
          <w:lang w:val="en-US"/>
        </w:rPr>
        <w:t xml:space="preserve">Between Alt.4 and Alt.5, the tradeoff is clear: MAC-CE based solution imposes higher latency than PUCCH-based, but offers much better reliability. The higher latency comes from using L2 control mechanism. Yet it has been pointed out that the overall latency for SCell BFR is not dominated by BF reporting. At the same time, the control information is protected by HARQ (which allows error detection in addition to error correction). When PUCCH is used, the latency is expected to be the same as, e.g. HARQ-ACK or CSI feedback. However, PUCCH lacks error detection capability which makes it more prone to error. </w:t>
      </w:r>
    </w:p>
    <w:p w14:paraId="13478EF1" w14:textId="77777777" w:rsidR="004C612C" w:rsidRPr="00E56ADE" w:rsidRDefault="004C612C" w:rsidP="004C612C">
      <w:pPr>
        <w:pStyle w:val="Style1"/>
        <w:spacing w:after="120"/>
        <w:rPr>
          <w:lang w:val="en-US"/>
        </w:rPr>
      </w:pPr>
      <w:r>
        <w:rPr>
          <w:lang w:val="en-US"/>
        </w:rPr>
        <w:t xml:space="preserve">Assuming that SCell BFR is essential for CA deployment in FR2, high reliability takes precedence. Here, MAC-CE based solution is a better alternative considering its superior reliability without imposing excessively additional latency.      </w:t>
      </w:r>
    </w:p>
    <w:p w14:paraId="3B437E8E" w14:textId="77777777" w:rsidR="004C612C" w:rsidRDefault="004C612C" w:rsidP="004C612C">
      <w:pPr>
        <w:pStyle w:val="Style1"/>
        <w:spacing w:after="120"/>
        <w:ind w:firstLine="0"/>
        <w:rPr>
          <w:i/>
          <w:lang w:val="en-US"/>
        </w:rPr>
      </w:pPr>
      <w:r w:rsidRPr="00E5152C">
        <w:rPr>
          <w:b/>
          <w:u w:val="single"/>
          <w:lang w:val="en-US"/>
        </w:rPr>
        <w:t>Proposal</w:t>
      </w:r>
      <w:r w:rsidRPr="00E5152C">
        <w:rPr>
          <w:lang w:val="en-US"/>
        </w:rPr>
        <w:t xml:space="preserve">: </w:t>
      </w:r>
      <w:r>
        <w:rPr>
          <w:i/>
          <w:lang w:val="en-US"/>
        </w:rPr>
        <w:t xml:space="preserve">Support Alt.4 (MAC-CE based solution) for SCell BFR considering its superior trade-off between reliability and latency. </w:t>
      </w:r>
    </w:p>
    <w:p w14:paraId="0AAC5637" w14:textId="77777777" w:rsidR="00FB6F1A" w:rsidRPr="00E5152C" w:rsidRDefault="00FB6F1A" w:rsidP="00C83420">
      <w:pPr>
        <w:pStyle w:val="Style1"/>
        <w:spacing w:after="120"/>
        <w:ind w:firstLine="0"/>
        <w:rPr>
          <w:i/>
          <w:lang w:val="en-US"/>
        </w:rPr>
      </w:pPr>
    </w:p>
    <w:p w14:paraId="390977FD" w14:textId="647C08DA" w:rsidR="009F6A3E" w:rsidRPr="009421EA" w:rsidRDefault="00405328" w:rsidP="009421EA">
      <w:pPr>
        <w:pStyle w:val="Heading1"/>
        <w:spacing w:before="0"/>
        <w:jc w:val="both"/>
        <w:rPr>
          <w:lang w:val="en-US"/>
        </w:rPr>
      </w:pPr>
      <w:r w:rsidRPr="00E5152C">
        <w:rPr>
          <w:lang w:val="en-US"/>
        </w:rPr>
        <w:lastRenderedPageBreak/>
        <w:t>Support</w:t>
      </w:r>
      <w:r w:rsidR="00157C6C">
        <w:rPr>
          <w:lang w:val="en-US"/>
        </w:rPr>
        <w:t xml:space="preserve"> for L1-</w:t>
      </w:r>
      <w:r w:rsidR="00FB6F1A" w:rsidRPr="00E5152C">
        <w:rPr>
          <w:lang w:val="en-US"/>
        </w:rPr>
        <w:t>SINR</w:t>
      </w:r>
    </w:p>
    <w:p w14:paraId="3AD4C751" w14:textId="7942A62D" w:rsidR="002D3358" w:rsidRPr="002D3358" w:rsidRDefault="002D3358" w:rsidP="002D3358">
      <w:pPr>
        <w:pStyle w:val="0Maintext"/>
        <w:spacing w:after="120" w:afterAutospacing="0"/>
        <w:rPr>
          <w:lang w:val="en-US"/>
        </w:rPr>
      </w:pPr>
      <w:r>
        <w:rPr>
          <w:lang w:val="en-US"/>
        </w:rPr>
        <w:t xml:space="preserve">The following agreement/conclusion was reached in RAN1 NR-AH 1901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p w14:paraId="0FEF4FB0" w14:textId="77777777" w:rsidR="002D3358" w:rsidRPr="002D3358" w:rsidRDefault="002D3358" w:rsidP="002D3358">
      <w:pPr>
        <w:spacing w:after="0"/>
        <w:jc w:val="both"/>
        <w:rPr>
          <w:b/>
          <w:sz w:val="18"/>
          <w:szCs w:val="18"/>
          <w:highlight w:val="green"/>
        </w:rPr>
      </w:pPr>
      <w:r w:rsidRPr="002D3358">
        <w:rPr>
          <w:b/>
          <w:sz w:val="18"/>
          <w:szCs w:val="18"/>
          <w:highlight w:val="green"/>
        </w:rPr>
        <w:t>Agreement</w:t>
      </w:r>
    </w:p>
    <w:p w14:paraId="6AD0BD92" w14:textId="77777777" w:rsidR="002D3358" w:rsidRPr="002D3358" w:rsidRDefault="002D3358" w:rsidP="002D3358">
      <w:pPr>
        <w:pStyle w:val="ListParagraph"/>
        <w:spacing w:after="0"/>
        <w:ind w:leftChars="0" w:left="0"/>
        <w:jc w:val="both"/>
        <w:rPr>
          <w:sz w:val="18"/>
          <w:szCs w:val="18"/>
        </w:rPr>
      </w:pPr>
      <w:r w:rsidRPr="002D3358">
        <w:rPr>
          <w:sz w:val="18"/>
          <w:szCs w:val="18"/>
        </w:rPr>
        <w:t>For L1-SINR, interference can be measured based on dedicated resource(s) for interference measurement.</w:t>
      </w:r>
    </w:p>
    <w:p w14:paraId="65057170" w14:textId="77777777" w:rsidR="002D3358" w:rsidRPr="002D3358" w:rsidRDefault="002D3358" w:rsidP="002D3358">
      <w:pPr>
        <w:pStyle w:val="ListParagraph"/>
        <w:numPr>
          <w:ilvl w:val="0"/>
          <w:numId w:val="37"/>
        </w:numPr>
        <w:spacing w:after="0"/>
        <w:ind w:leftChars="0"/>
        <w:jc w:val="both"/>
        <w:rPr>
          <w:rFonts w:eastAsia="SimSun"/>
          <w:sz w:val="18"/>
          <w:szCs w:val="18"/>
        </w:rPr>
      </w:pPr>
      <w:r w:rsidRPr="002D3358">
        <w:rPr>
          <w:rFonts w:eastAsia="SimSun"/>
          <w:sz w:val="18"/>
          <w:szCs w:val="18"/>
        </w:rPr>
        <w:t>FFS: UE assumes interference signal on the REs of the RS for signal part and REs for dedicated resource(s) for interference measurement similar to specified in 38.214</w:t>
      </w:r>
    </w:p>
    <w:p w14:paraId="1CDDC901" w14:textId="77777777" w:rsidR="002D3358" w:rsidRPr="002D3358" w:rsidRDefault="002D3358" w:rsidP="002D3358">
      <w:pPr>
        <w:pStyle w:val="ListParagraph"/>
        <w:numPr>
          <w:ilvl w:val="0"/>
          <w:numId w:val="37"/>
        </w:numPr>
        <w:spacing w:after="0"/>
        <w:ind w:leftChars="0"/>
        <w:jc w:val="both"/>
        <w:rPr>
          <w:rFonts w:eastAsia="SimSun"/>
          <w:sz w:val="18"/>
          <w:szCs w:val="18"/>
        </w:rPr>
      </w:pPr>
      <w:r w:rsidRPr="002D3358">
        <w:rPr>
          <w:rFonts w:eastAsia="SimSun"/>
          <w:sz w:val="18"/>
          <w:szCs w:val="18"/>
        </w:rPr>
        <w:t>FFS: whether resource(s) for interference measurement can be NZP based or ZP based or both</w:t>
      </w:r>
    </w:p>
    <w:p w14:paraId="0374F3BF" w14:textId="77777777" w:rsidR="002D3358" w:rsidRPr="002D3358" w:rsidRDefault="002D3358" w:rsidP="002D3358">
      <w:pPr>
        <w:pStyle w:val="ListParagraph"/>
        <w:numPr>
          <w:ilvl w:val="0"/>
          <w:numId w:val="37"/>
        </w:numPr>
        <w:spacing w:after="0"/>
        <w:ind w:leftChars="0"/>
        <w:jc w:val="both"/>
        <w:rPr>
          <w:rFonts w:eastAsia="SimSun"/>
          <w:sz w:val="18"/>
          <w:szCs w:val="18"/>
        </w:rPr>
      </w:pPr>
      <w:r w:rsidRPr="002D3358">
        <w:rPr>
          <w:rFonts w:eastAsia="SimSun"/>
          <w:sz w:val="18"/>
          <w:szCs w:val="18"/>
        </w:rPr>
        <w:t xml:space="preserve">FFS: whether/how to reuse NZP CSI-RS resource(s) configured for channel measurement as resource(s) for interference measurement </w:t>
      </w:r>
    </w:p>
    <w:p w14:paraId="52958974" w14:textId="46BFF383" w:rsidR="002D3358" w:rsidRDefault="002D3358" w:rsidP="000302C5">
      <w:pPr>
        <w:spacing w:after="120" w:line="288" w:lineRule="auto"/>
        <w:jc w:val="both"/>
        <w:rPr>
          <w:sz w:val="20"/>
          <w:lang w:val="en-US"/>
        </w:rPr>
      </w:pPr>
    </w:p>
    <w:p w14:paraId="596D3942" w14:textId="10E60CDA" w:rsidR="009421EA" w:rsidRPr="00E87AA9" w:rsidRDefault="009421EA" w:rsidP="00E87AA9">
      <w:pPr>
        <w:pStyle w:val="0Maintext"/>
        <w:spacing w:after="120" w:afterAutospacing="0"/>
        <w:rPr>
          <w:lang w:val="en-US" w:eastAsia="ko-KR"/>
        </w:rPr>
      </w:pPr>
      <w:r>
        <w:rPr>
          <w:lang w:val="en-US" w:eastAsia="ko-KR"/>
        </w:rPr>
        <w:t xml:space="preserve">Even if L1-SINR is to be specified in Rel.16, its definition is still to be discussed. One alternative is to reuse the CSI/SS-SINR given in TS 38.215 as follows (for CSI-SINR) </w:t>
      </w:r>
      <w:r w:rsidR="00E87AA9">
        <w:rPr>
          <w:lang w:val="en-US" w:eastAsia="ko-KR"/>
        </w:rPr>
        <w:fldChar w:fldCharType="begin"/>
      </w:r>
      <w:r w:rsidR="00E87AA9">
        <w:rPr>
          <w:lang w:val="en-US" w:eastAsia="ko-KR"/>
        </w:rPr>
        <w:instrText xml:space="preserve"> REF _Ref528938664 \r \h </w:instrText>
      </w:r>
      <w:r w:rsidR="00E87AA9">
        <w:rPr>
          <w:lang w:val="en-US" w:eastAsia="ko-KR"/>
        </w:rPr>
      </w:r>
      <w:r w:rsidR="00E87AA9">
        <w:rPr>
          <w:lang w:val="en-US" w:eastAsia="ko-KR"/>
        </w:rPr>
        <w:fldChar w:fldCharType="separate"/>
      </w:r>
      <w:r w:rsidR="00E87AA9">
        <w:rPr>
          <w:lang w:val="en-US" w:eastAsia="ko-KR"/>
        </w:rPr>
        <w:t>[2]</w:t>
      </w:r>
      <w:r w:rsidR="00E87AA9">
        <w:rPr>
          <w:lang w:val="en-US" w:eastAsia="ko-KR"/>
        </w:rPr>
        <w:fldChar w:fldCharType="end"/>
      </w:r>
      <w:r>
        <w:rPr>
          <w:lang w:val="en-US" w:eastAsia="ko-KR"/>
        </w:rPr>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421EA" w:rsidRPr="00486914" w14:paraId="64C8F1E4" w14:textId="77777777" w:rsidTr="00215F3B">
        <w:trPr>
          <w:cantSplit/>
          <w:jc w:val="center"/>
        </w:trPr>
        <w:tc>
          <w:tcPr>
            <w:tcW w:w="1951" w:type="dxa"/>
          </w:tcPr>
          <w:p w14:paraId="4E3A85FF" w14:textId="77777777" w:rsidR="009421EA" w:rsidRPr="007F682A" w:rsidRDefault="009421EA" w:rsidP="00215F3B">
            <w:pPr>
              <w:pStyle w:val="TAL"/>
              <w:rPr>
                <w:b/>
                <w:szCs w:val="18"/>
              </w:rPr>
            </w:pPr>
            <w:r w:rsidRPr="007F682A">
              <w:rPr>
                <w:b/>
                <w:szCs w:val="18"/>
              </w:rPr>
              <w:t>Definition</w:t>
            </w:r>
          </w:p>
        </w:tc>
        <w:tc>
          <w:tcPr>
            <w:tcW w:w="7787" w:type="dxa"/>
          </w:tcPr>
          <w:p w14:paraId="36336C7E" w14:textId="77777777" w:rsidR="009421EA" w:rsidRDefault="009421EA" w:rsidP="00215F3B">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w:t>
            </w:r>
            <w:r w:rsidRPr="00DB16F1">
              <w:rPr>
                <w:highlight w:val="green"/>
              </w:rPr>
              <w:t xml:space="preserve">linear average over the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of the resource elements </w:t>
            </w:r>
            <w:r w:rsidRPr="00DB16F1">
              <w:rPr>
                <w:rFonts w:hint="eastAsia"/>
                <w:highlight w:val="green"/>
              </w:rPr>
              <w:t xml:space="preserve">carrying </w:t>
            </w:r>
            <w:r w:rsidRPr="00DB16F1">
              <w:rPr>
                <w:highlight w:val="green"/>
              </w:rPr>
              <w:t xml:space="preserve">CSI </w:t>
            </w:r>
            <w:r w:rsidRPr="00DB16F1">
              <w:rPr>
                <w:rFonts w:hint="eastAsia"/>
                <w:highlight w:val="green"/>
              </w:rPr>
              <w:t xml:space="preserve">reference signals </w:t>
            </w:r>
            <w:r w:rsidRPr="00DB16F1">
              <w:rPr>
                <w:highlight w:val="green"/>
              </w:rPr>
              <w:t xml:space="preserve">divided by the linear average of the noise and interference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w:t>
            </w:r>
            <w:r w:rsidRPr="00DB16F1">
              <w:rPr>
                <w:rFonts w:hint="eastAsia"/>
                <w:highlight w:val="green"/>
              </w:rPr>
              <w:t>over</w:t>
            </w:r>
            <w:r w:rsidRPr="00DB16F1">
              <w:rPr>
                <w:highlight w:val="green"/>
              </w:rPr>
              <w:t xml:space="preserve"> the resource elements carrying CSI </w:t>
            </w:r>
            <w:r w:rsidRPr="00DB16F1">
              <w:rPr>
                <w:rFonts w:hint="eastAsia"/>
                <w:highlight w:val="green"/>
              </w:rPr>
              <w:t xml:space="preserve">reference signals reference signals </w:t>
            </w:r>
            <w:r w:rsidRPr="00DB16F1">
              <w:rPr>
                <w:highlight w:val="green"/>
              </w:rPr>
              <w:t xml:space="preserve">within the </w:t>
            </w:r>
            <w:r w:rsidRPr="00DB16F1">
              <w:rPr>
                <w:rFonts w:hint="eastAsia"/>
                <w:highlight w:val="green"/>
              </w:rPr>
              <w:t xml:space="preserve">same </w:t>
            </w:r>
            <w:r w:rsidRPr="00DB16F1">
              <w:rPr>
                <w:highlight w:val="green"/>
              </w:rPr>
              <w:t>frequency bandwidth</w:t>
            </w:r>
            <w:r w:rsidRPr="001C15FF">
              <w:t>.</w:t>
            </w:r>
          </w:p>
          <w:p w14:paraId="6DD5E3FB" w14:textId="77777777" w:rsidR="009421EA" w:rsidRDefault="009421EA" w:rsidP="00215F3B">
            <w:pPr>
              <w:pStyle w:val="TAL"/>
            </w:pPr>
          </w:p>
          <w:p w14:paraId="4197F597" w14:textId="77777777" w:rsidR="009421EA" w:rsidRDefault="009421EA" w:rsidP="00215F3B">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7DB580C9" w14:textId="77777777" w:rsidR="009421EA" w:rsidRDefault="009421EA" w:rsidP="00215F3B">
            <w:pPr>
              <w:pStyle w:val="TAL"/>
            </w:pPr>
          </w:p>
          <w:p w14:paraId="371AA48B" w14:textId="77777777" w:rsidR="009421EA" w:rsidRDefault="009421EA" w:rsidP="00215F3B">
            <w:pPr>
              <w:pStyle w:val="TAL"/>
            </w:pPr>
            <w:r>
              <w:t>For intra-frequency CSI-SINR measurements, if the measurement gap is not configured, UE is not expected to measure the CSI-RS resource(s) outside of the active downlink bandwidth part.</w:t>
            </w:r>
          </w:p>
          <w:p w14:paraId="14273659" w14:textId="77777777" w:rsidR="009421EA" w:rsidRPr="001C15FF" w:rsidRDefault="009421EA" w:rsidP="00215F3B">
            <w:pPr>
              <w:pStyle w:val="TAL"/>
            </w:pPr>
          </w:p>
          <w:p w14:paraId="3F5CC39B" w14:textId="77777777" w:rsidR="009421EA" w:rsidRPr="001C15FF" w:rsidRDefault="009421EA" w:rsidP="00215F3B">
            <w:pPr>
              <w:pStyle w:val="TAL"/>
            </w:pPr>
            <w:r>
              <w:t>For frequency range 1, t</w:t>
            </w:r>
            <w:r w:rsidRPr="001C15FF">
              <w:t>he reference point for the CSI-SINR shall be the antenna connector of the UE.</w:t>
            </w:r>
            <w:r>
              <w:t xml:space="preserve"> </w:t>
            </w:r>
            <w:r w:rsidRPr="009C6171">
              <w:rPr>
                <w:highlight w:val="cyan"/>
              </w:rPr>
              <w:t>For frequency range 2, CSI-SINR shall be measured based on the combined signal from antenna elements corresponding to a given receiver branch</w:t>
            </w:r>
            <w:r>
              <w:t xml:space="preserve">. </w:t>
            </w:r>
            <w:r w:rsidRPr="009C6171">
              <w:rPr>
                <w:highlight w:val="yellow"/>
              </w:rPr>
              <w:t>For frequency range 1 and 2, if receiver diversity is in use by the UE, the reported CSI-SINR value shall not be lower than the corresponding CSI-SINR of any of the individual receiver branches.</w:t>
            </w:r>
          </w:p>
        </w:tc>
      </w:tr>
      <w:tr w:rsidR="009421EA" w:rsidRPr="00486914" w14:paraId="1B4449EF" w14:textId="77777777" w:rsidTr="00215F3B">
        <w:trPr>
          <w:cantSplit/>
          <w:jc w:val="center"/>
        </w:trPr>
        <w:tc>
          <w:tcPr>
            <w:tcW w:w="1951" w:type="dxa"/>
          </w:tcPr>
          <w:p w14:paraId="0BF496D7" w14:textId="77777777" w:rsidR="009421EA" w:rsidRPr="007F682A" w:rsidRDefault="009421EA" w:rsidP="00215F3B">
            <w:pPr>
              <w:pStyle w:val="TAL"/>
              <w:rPr>
                <w:b/>
                <w:szCs w:val="18"/>
              </w:rPr>
            </w:pPr>
            <w:r w:rsidRPr="007F682A">
              <w:rPr>
                <w:b/>
                <w:szCs w:val="18"/>
              </w:rPr>
              <w:t>Applicable for</w:t>
            </w:r>
          </w:p>
        </w:tc>
        <w:tc>
          <w:tcPr>
            <w:tcW w:w="7787" w:type="dxa"/>
          </w:tcPr>
          <w:p w14:paraId="414B75DF" w14:textId="77777777" w:rsidR="009421EA" w:rsidRPr="001C15FF" w:rsidRDefault="009421EA" w:rsidP="00215F3B">
            <w:pPr>
              <w:pStyle w:val="TAL"/>
            </w:pPr>
            <w:r w:rsidRPr="001C15FF">
              <w:t>RRC_CONNECTED intra-frequency,</w:t>
            </w:r>
          </w:p>
          <w:p w14:paraId="06F5B598" w14:textId="77777777" w:rsidR="009421EA" w:rsidRPr="001C15FF" w:rsidRDefault="009421EA" w:rsidP="00215F3B">
            <w:pPr>
              <w:pStyle w:val="TAL"/>
            </w:pPr>
            <w:r w:rsidRPr="001C15FF">
              <w:t>RRC_CONNECTED inter-frequency</w:t>
            </w:r>
          </w:p>
        </w:tc>
      </w:tr>
    </w:tbl>
    <w:p w14:paraId="7EBFA41F" w14:textId="77777777" w:rsidR="00E87AA9" w:rsidRDefault="00E87AA9" w:rsidP="00E87AA9">
      <w:pPr>
        <w:spacing w:after="120" w:line="288" w:lineRule="auto"/>
        <w:ind w:firstLine="432"/>
        <w:jc w:val="both"/>
        <w:rPr>
          <w:sz w:val="20"/>
          <w:lang w:val="en-US"/>
        </w:rPr>
      </w:pPr>
    </w:p>
    <w:p w14:paraId="4B75F43F" w14:textId="77777777" w:rsidR="00BB7280" w:rsidRDefault="00E87AA9" w:rsidP="00BB7280">
      <w:pPr>
        <w:spacing w:after="120" w:line="288" w:lineRule="auto"/>
        <w:ind w:firstLine="432"/>
        <w:jc w:val="both"/>
        <w:rPr>
          <w:rFonts w:eastAsia="MS Mincho"/>
          <w:sz w:val="20"/>
          <w:lang w:eastAsia="ja-JP"/>
        </w:rPr>
      </w:pPr>
      <w:r>
        <w:rPr>
          <w:rFonts w:eastAsia="MS Mincho"/>
          <w:sz w:val="20"/>
          <w:lang w:eastAsia="ja-JP"/>
        </w:rPr>
        <w:t xml:space="preserve">In TS 38.215 </w:t>
      </w:r>
      <w:r w:rsidRPr="00E87AA9">
        <w:rPr>
          <w:rFonts w:eastAsia="MS Mincho"/>
          <w:sz w:val="20"/>
          <w:lang w:eastAsia="ja-JP"/>
        </w:rPr>
        <w:t>CSI/SS-SINR is defined as the ratio between average signal power and average noise-plus-interference power measured based on the same CSI-RS or SSB. At least a few drawbacks can be identified. First, a metric defined as a ratio between average signal power</w:t>
      </w:r>
      <w:r>
        <w:rPr>
          <w:rFonts w:eastAsia="MS Mincho"/>
          <w:sz w:val="20"/>
          <w:lang w:eastAsia="ja-JP"/>
        </w:rPr>
        <w:t xml:space="preserve"> (across channel ensembles)</w:t>
      </w:r>
      <w:r w:rsidRPr="00E87AA9">
        <w:rPr>
          <w:rFonts w:eastAsia="MS Mincho"/>
          <w:sz w:val="20"/>
          <w:lang w:eastAsia="ja-JP"/>
        </w:rPr>
        <w:t xml:space="preserve"> and average noise-plus-interference power </w:t>
      </w:r>
      <w:r>
        <w:rPr>
          <w:rFonts w:eastAsia="MS Mincho"/>
          <w:sz w:val="20"/>
          <w:lang w:eastAsia="ja-JP"/>
        </w:rPr>
        <w:t xml:space="preserve">(across interference channel ensembles) </w:t>
      </w:r>
      <w:r w:rsidRPr="00E87AA9">
        <w:rPr>
          <w:rFonts w:eastAsia="MS Mincho"/>
          <w:sz w:val="20"/>
          <w:lang w:eastAsia="ja-JP"/>
        </w:rPr>
        <w:t>is not reflective of the real metric of interest, i.e. the average/mean of the ratio between signal power and noise-plus-interference power</w:t>
      </w:r>
      <w:r>
        <w:rPr>
          <w:rFonts w:eastAsia="MS Mincho"/>
          <w:sz w:val="20"/>
          <w:lang w:eastAsia="ja-JP"/>
        </w:rPr>
        <w:t>, taken across channel and interference ensembles</w:t>
      </w:r>
      <w:r w:rsidRPr="00E87AA9">
        <w:rPr>
          <w:rFonts w:eastAsia="MS Mincho"/>
          <w:sz w:val="20"/>
          <w:lang w:eastAsia="ja-JP"/>
        </w:rPr>
        <w:t>. Second, the manner in which receive diversity (the use of multiple receive chains) is incorporated is ad-hoc. While it accounts for selection receive diversity, it is unclear how maximum ratio combining can be accounted satisfactorily. Third, although signal and noise</w:t>
      </w:r>
      <w:r w:rsidRPr="00BB7280">
        <w:rPr>
          <w:rFonts w:eastAsia="MS Mincho"/>
          <w:sz w:val="20"/>
          <w:lang w:eastAsia="ja-JP"/>
        </w:rPr>
        <w:t xml:space="preserve">-plus-interference power can be measured from the same signal resource (either the same NZP CSI-RS or SSB), its accuracy degrades in the presence of strong and dominant interference. </w:t>
      </w:r>
    </w:p>
    <w:p w14:paraId="3AEA9E8B" w14:textId="5ADEDA40" w:rsidR="00BB7280" w:rsidRPr="00BB7280" w:rsidRDefault="00BB7280" w:rsidP="00BB7280">
      <w:pPr>
        <w:spacing w:after="120" w:line="288" w:lineRule="auto"/>
        <w:ind w:firstLine="432"/>
        <w:jc w:val="both"/>
        <w:rPr>
          <w:rFonts w:eastAsia="MS Mincho"/>
          <w:sz w:val="20"/>
          <w:lang w:eastAsia="ja-JP"/>
        </w:rPr>
      </w:pPr>
      <w:r>
        <w:rPr>
          <w:rFonts w:eastAsia="MS Mincho"/>
          <w:sz w:val="20"/>
          <w:lang w:eastAsia="ja-JP"/>
        </w:rPr>
        <w:t xml:space="preserve">While there could be more complex beam metrics, the following modified L1-SINR metric is proposed: </w:t>
      </w:r>
      <w:r w:rsidRPr="00BB7280">
        <w:rPr>
          <w:sz w:val="20"/>
          <w:lang w:val="en-US"/>
        </w:rPr>
        <w:t xml:space="preserve">Let </w:t>
      </w:r>
      <m:oMath>
        <m:r>
          <w:rPr>
            <w:rFonts w:ascii="Cambria Math" w:hAnsi="Cambria Math"/>
            <w:sz w:val="20"/>
            <w:lang w:val="en-US"/>
          </w:rPr>
          <m:t>t=0, 1, …,</m:t>
        </m:r>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T</m:t>
            </m:r>
          </m:sub>
        </m:sSub>
        <m:r>
          <w:rPr>
            <w:rFonts w:ascii="Cambria Math" w:hAnsi="Cambria Math"/>
            <w:sz w:val="20"/>
            <w:lang w:val="en-US"/>
          </w:rPr>
          <m:t>-1</m:t>
        </m:r>
      </m:oMath>
      <w:r w:rsidRPr="00BB7280">
        <w:rPr>
          <w:sz w:val="20"/>
          <w:lang w:val="en-US"/>
        </w:rPr>
        <w:t xml:space="preserve"> and </w:t>
      </w:r>
      <m:oMath>
        <m:r>
          <w:rPr>
            <w:rFonts w:ascii="Cambria Math" w:hAnsi="Cambria Math"/>
            <w:sz w:val="20"/>
            <w:lang w:val="en-US"/>
          </w:rPr>
          <m:t>r=0, 1, …,</m:t>
        </m:r>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R</m:t>
            </m:r>
          </m:sub>
        </m:sSub>
        <m:r>
          <w:rPr>
            <w:rFonts w:ascii="Cambria Math" w:hAnsi="Cambria Math"/>
            <w:sz w:val="20"/>
            <w:lang w:val="en-US"/>
          </w:rPr>
          <m:t>-1</m:t>
        </m:r>
      </m:oMath>
      <w:r>
        <w:rPr>
          <w:sz w:val="20"/>
          <w:lang w:val="en-US"/>
        </w:rPr>
        <w:t xml:space="preserve"> denote the</w:t>
      </w:r>
      <w:r w:rsidRPr="00BB7280">
        <w:rPr>
          <w:sz w:val="20"/>
          <w:lang w:val="en-US"/>
        </w:rPr>
        <w:t xml:space="preserve"> indices of transmit (TX) and receive (RX) beams. The weighted SINR metric for a given TX-RX beam pair </w:t>
      </w:r>
      <m:oMath>
        <m:d>
          <m:dPr>
            <m:ctrlPr>
              <w:rPr>
                <w:rFonts w:ascii="Cambria Math" w:hAnsi="Cambria Math"/>
                <w:i/>
                <w:iCs/>
                <w:sz w:val="20"/>
                <w:lang w:val="en-US"/>
              </w:rPr>
            </m:ctrlPr>
          </m:dPr>
          <m:e>
            <m:r>
              <w:rPr>
                <w:rFonts w:ascii="Cambria Math" w:hAnsi="Cambria Math"/>
                <w:sz w:val="20"/>
                <w:lang w:val="en-US"/>
              </w:rPr>
              <m:t>t,r</m:t>
            </m:r>
          </m:e>
        </m:d>
      </m:oMath>
      <w:r w:rsidRPr="00BB7280">
        <w:rPr>
          <w:sz w:val="20"/>
          <w:lang w:val="en-US"/>
        </w:rPr>
        <w:t xml:space="preserve"> is then given by</w:t>
      </w:r>
    </w:p>
    <w:p w14:paraId="55D11C20" w14:textId="77777777" w:rsidR="00BB7280" w:rsidRPr="00BB7280" w:rsidRDefault="00BB7280" w:rsidP="00BB7280">
      <w:pPr>
        <w:spacing w:after="120" w:line="288" w:lineRule="auto"/>
        <w:ind w:left="360"/>
        <w:jc w:val="center"/>
        <w:rPr>
          <w:sz w:val="20"/>
        </w:rPr>
      </w:pPr>
      <m:oMath>
        <m:r>
          <w:rPr>
            <w:rFonts w:ascii="Cambria Math" w:hAnsi="Cambria Math"/>
            <w:sz w:val="20"/>
            <w:lang w:val="en-US"/>
          </w:rPr>
          <m:t>M</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r>
          <m:rPr>
            <m:sty m:val="p"/>
          </m:rPr>
          <w:rPr>
            <w:rFonts w:ascii="Cambria Math" w:hAnsi="Cambria Math"/>
            <w:sz w:val="20"/>
            <w:lang w:val="en-US"/>
          </w:rPr>
          <m:t>=</m:t>
        </m:r>
        <m:r>
          <w:rPr>
            <w:rFonts w:ascii="Cambria Math" w:hAnsi="Cambria Math"/>
            <w:sz w:val="20"/>
            <w:lang w:val="en-US"/>
          </w:rPr>
          <m:t>γ</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r>
          <m:rPr>
            <m:sty m:val="p"/>
          </m:rPr>
          <w:rPr>
            <w:rFonts w:ascii="Cambria Math" w:hAnsi="Cambria Math"/>
            <w:sz w:val="20"/>
            <w:lang w:val="en-US"/>
          </w:rPr>
          <m:t>×</m:t>
        </m:r>
        <m:r>
          <w:rPr>
            <w:rFonts w:ascii="Cambria Math" w:hAnsi="Cambria Math"/>
            <w:sz w:val="20"/>
            <w:lang w:val="en-US"/>
          </w:rPr>
          <m:t>SINR</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oMath>
      <w:r w:rsidRPr="00BB7280">
        <w:rPr>
          <w:iCs/>
          <w:sz w:val="20"/>
          <w:lang w:val="en-US"/>
        </w:rPr>
        <w:t>,</w:t>
      </w:r>
    </w:p>
    <w:p w14:paraId="5230EB77" w14:textId="77777777" w:rsidR="00BB7280" w:rsidRPr="00BB7280" w:rsidRDefault="00BB7280" w:rsidP="00BB7280">
      <w:pPr>
        <w:spacing w:after="120" w:line="288" w:lineRule="auto"/>
        <w:ind w:left="720"/>
        <w:rPr>
          <w:sz w:val="20"/>
        </w:rPr>
      </w:pPr>
      <w:r w:rsidRPr="00BB7280">
        <w:rPr>
          <w:sz w:val="20"/>
        </w:rPr>
        <w:t>where</w:t>
      </w:r>
    </w:p>
    <w:p w14:paraId="39C60707" w14:textId="28BBF7D7" w:rsidR="00BB7280" w:rsidRPr="00BB7280" w:rsidRDefault="00BB7280" w:rsidP="00BB7280">
      <w:pPr>
        <w:pStyle w:val="ListParagraph"/>
        <w:numPr>
          <w:ilvl w:val="1"/>
          <w:numId w:val="35"/>
        </w:numPr>
        <w:spacing w:after="120" w:line="288" w:lineRule="auto"/>
        <w:ind w:leftChars="0"/>
        <w:jc w:val="both"/>
        <w:rPr>
          <w:sz w:val="20"/>
        </w:rPr>
      </w:pPr>
      <m:oMath>
        <m:r>
          <w:rPr>
            <w:rFonts w:ascii="Cambria Math" w:hAnsi="Cambria Math"/>
            <w:sz w:val="20"/>
          </w:rPr>
          <m:t>γ</m:t>
        </m:r>
        <m:d>
          <m:dPr>
            <m:ctrlPr>
              <w:rPr>
                <w:rFonts w:ascii="Cambria Math" w:hAnsi="Cambria Math"/>
                <w:i/>
                <w:sz w:val="20"/>
              </w:rPr>
            </m:ctrlPr>
          </m:dPr>
          <m:e>
            <m:r>
              <w:rPr>
                <w:rFonts w:ascii="Cambria Math" w:hAnsi="Cambria Math"/>
                <w:sz w:val="20"/>
              </w:rPr>
              <m:t>t,r</m:t>
            </m:r>
          </m:e>
        </m:d>
        <m:r>
          <w:rPr>
            <w:rFonts w:ascii="Cambria Math" w:hAnsi="Cambria Math"/>
            <w:sz w:val="20"/>
          </w:rPr>
          <m:t>=</m:t>
        </m:r>
        <m:f>
          <m:fPr>
            <m:ctrlPr>
              <w:rPr>
                <w:rFonts w:ascii="Cambria Math" w:hAnsi="Cambria Math"/>
                <w:i/>
                <w:sz w:val="20"/>
              </w:rPr>
            </m:ctrlPr>
          </m:fPr>
          <m:num>
            <m:r>
              <w:rPr>
                <w:rFonts w:ascii="Cambria Math" w:hAnsi="Cambria Math"/>
                <w:sz w:val="20"/>
              </w:rPr>
              <m:t>P</m:t>
            </m:r>
            <m:d>
              <m:dPr>
                <m:ctrlPr>
                  <w:rPr>
                    <w:rFonts w:ascii="Cambria Math" w:hAnsi="Cambria Math"/>
                    <w:i/>
                    <w:sz w:val="20"/>
                  </w:rPr>
                </m:ctrlPr>
              </m:dPr>
              <m:e>
                <m:r>
                  <w:rPr>
                    <w:rFonts w:ascii="Cambria Math" w:hAnsi="Cambria Math"/>
                    <w:sz w:val="20"/>
                  </w:rPr>
                  <m:t>t,r</m:t>
                </m:r>
              </m:e>
            </m:d>
          </m:num>
          <m:den>
            <m:nary>
              <m:naryPr>
                <m:chr m:val="∑"/>
                <m:limLoc m:val="undOvr"/>
                <m:ctrlPr>
                  <w:rPr>
                    <w:rFonts w:ascii="Cambria Math" w:hAnsi="Cambria Math"/>
                    <w:i/>
                    <w:sz w:val="20"/>
                  </w:rPr>
                </m:ctrlPr>
              </m:naryPr>
              <m:sub>
                <m:r>
                  <w:rPr>
                    <w:rFonts w:ascii="Cambria Math" w:hAnsi="Cambria Math"/>
                    <w:sz w:val="20"/>
                  </w:rPr>
                  <m:t>r=0</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R</m:t>
                    </m:r>
                  </m:sub>
                </m:sSub>
                <m:r>
                  <w:rPr>
                    <w:rFonts w:ascii="Cambria Math" w:hAnsi="Cambria Math"/>
                    <w:sz w:val="20"/>
                  </w:rPr>
                  <m:t>-1</m:t>
                </m:r>
              </m:sup>
              <m:e>
                <m:nary>
                  <m:naryPr>
                    <m:chr m:val="∑"/>
                    <m:limLoc m:val="undOvr"/>
                    <m:ctrlPr>
                      <w:rPr>
                        <w:rFonts w:ascii="Cambria Math" w:hAnsi="Cambria Math"/>
                        <w:i/>
                        <w:sz w:val="20"/>
                      </w:rPr>
                    </m:ctrlPr>
                  </m:naryPr>
                  <m:sub>
                    <m:r>
                      <w:rPr>
                        <w:rFonts w:ascii="Cambria Math" w:hAnsi="Cambria Math"/>
                        <w:sz w:val="20"/>
                      </w:rPr>
                      <m:t>t=0</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-1</m:t>
                    </m:r>
                  </m:sup>
                  <m:e>
                    <m:r>
                      <w:rPr>
                        <w:rFonts w:ascii="Cambria Math" w:hAnsi="Cambria Math"/>
                        <w:sz w:val="20"/>
                      </w:rPr>
                      <m:t>P</m:t>
                    </m:r>
                    <m:d>
                      <m:dPr>
                        <m:ctrlPr>
                          <w:rPr>
                            <w:rFonts w:ascii="Cambria Math" w:hAnsi="Cambria Math"/>
                            <w:i/>
                            <w:sz w:val="20"/>
                          </w:rPr>
                        </m:ctrlPr>
                      </m:dPr>
                      <m:e>
                        <m:r>
                          <w:rPr>
                            <w:rFonts w:ascii="Cambria Math" w:hAnsi="Cambria Math"/>
                            <w:sz w:val="20"/>
                          </w:rPr>
                          <m:t>t,r</m:t>
                        </m:r>
                      </m:e>
                    </m:d>
                  </m:e>
                </m:nary>
              </m:e>
            </m:nary>
          </m:den>
        </m:f>
      </m:oMath>
      <w:r w:rsidRPr="00BB7280">
        <w:rPr>
          <w:sz w:val="20"/>
        </w:rPr>
        <w:t xml:space="preserve"> is a weight</w:t>
      </w:r>
      <w:r>
        <w:rPr>
          <w:sz w:val="20"/>
        </w:rPr>
        <w:t>ing factor</w:t>
      </w:r>
      <w:r w:rsidRPr="00BB7280">
        <w:rPr>
          <w:sz w:val="20"/>
        </w:rPr>
        <w:t xml:space="preserve"> assigned to TX-RX beam pair </w:t>
      </w:r>
      <m:oMath>
        <m:r>
          <w:rPr>
            <w:rFonts w:ascii="Cambria Math" w:hAnsi="Cambria Math"/>
            <w:sz w:val="20"/>
          </w:rPr>
          <m:t>(t,r)</m:t>
        </m:r>
      </m:oMath>
      <w:r w:rsidRPr="00BB7280">
        <w:rPr>
          <w:sz w:val="20"/>
        </w:rPr>
        <w:t xml:space="preserve"> </w:t>
      </w:r>
    </w:p>
    <w:p w14:paraId="7D08665D" w14:textId="77777777" w:rsidR="00BB7280" w:rsidRPr="00BB7280" w:rsidRDefault="00BB7280" w:rsidP="00BB7280">
      <w:pPr>
        <w:pStyle w:val="ListParagraph"/>
        <w:numPr>
          <w:ilvl w:val="1"/>
          <w:numId w:val="35"/>
        </w:numPr>
        <w:spacing w:after="120" w:line="288" w:lineRule="auto"/>
        <w:ind w:leftChars="0"/>
        <w:jc w:val="both"/>
        <w:rPr>
          <w:sz w:val="20"/>
        </w:rPr>
      </w:pPr>
      <m:oMath>
        <m:r>
          <w:rPr>
            <w:rFonts w:ascii="Cambria Math" w:hAnsi="Cambria Math"/>
            <w:sz w:val="20"/>
          </w:rPr>
          <m:t>P</m:t>
        </m:r>
        <m:d>
          <m:dPr>
            <m:ctrlPr>
              <w:rPr>
                <w:rFonts w:ascii="Cambria Math" w:hAnsi="Cambria Math"/>
                <w:i/>
                <w:sz w:val="20"/>
              </w:rPr>
            </m:ctrlPr>
          </m:dPr>
          <m:e>
            <m:r>
              <w:rPr>
                <w:rFonts w:ascii="Cambria Math" w:hAnsi="Cambria Math"/>
                <w:sz w:val="20"/>
              </w:rPr>
              <m:t>t,r</m:t>
            </m:r>
          </m:e>
        </m:d>
        <m:r>
          <w:rPr>
            <w:rFonts w:ascii="Cambria Math" w:hAnsi="Cambria Math"/>
            <w:sz w:val="20"/>
          </w:rPr>
          <m:t>=</m:t>
        </m:r>
      </m:oMath>
      <w:r w:rsidRPr="00BB7280">
        <w:rPr>
          <w:sz w:val="20"/>
        </w:rPr>
        <w:t xml:space="preserve"> RSRP for TX-RX beam pair </w:t>
      </w:r>
      <m:oMath>
        <m:d>
          <m:dPr>
            <m:ctrlPr>
              <w:rPr>
                <w:rFonts w:ascii="Cambria Math" w:hAnsi="Cambria Math"/>
                <w:i/>
                <w:sz w:val="20"/>
              </w:rPr>
            </m:ctrlPr>
          </m:dPr>
          <m:e>
            <m:r>
              <w:rPr>
                <w:rFonts w:ascii="Cambria Math" w:hAnsi="Cambria Math"/>
                <w:sz w:val="20"/>
              </w:rPr>
              <m:t>t,r</m:t>
            </m:r>
          </m:e>
        </m:d>
      </m:oMath>
    </w:p>
    <w:p w14:paraId="464C0149" w14:textId="77777777" w:rsidR="00BB7280" w:rsidRPr="00BB7280" w:rsidRDefault="00BB7280" w:rsidP="00BB7280">
      <w:pPr>
        <w:pStyle w:val="ListParagraph"/>
        <w:numPr>
          <w:ilvl w:val="1"/>
          <w:numId w:val="35"/>
        </w:numPr>
        <w:spacing w:after="120" w:line="288" w:lineRule="auto"/>
        <w:ind w:leftChars="0"/>
        <w:jc w:val="both"/>
        <w:rPr>
          <w:sz w:val="20"/>
        </w:rPr>
      </w:pPr>
      <m:oMath>
        <m:r>
          <w:rPr>
            <w:rFonts w:ascii="Cambria Math" w:hAnsi="Cambria Math"/>
            <w:sz w:val="20"/>
          </w:rPr>
          <m:t>SINR</m:t>
        </m:r>
        <m:d>
          <m:dPr>
            <m:ctrlPr>
              <w:rPr>
                <w:rFonts w:ascii="Cambria Math" w:hAnsi="Cambria Math"/>
                <w:i/>
                <w:sz w:val="20"/>
              </w:rPr>
            </m:ctrlPr>
          </m:dPr>
          <m:e>
            <m:r>
              <w:rPr>
                <w:rFonts w:ascii="Cambria Math" w:hAnsi="Cambria Math"/>
                <w:sz w:val="20"/>
              </w:rPr>
              <m:t>t,r</m:t>
            </m:r>
          </m:e>
        </m:d>
        <m:r>
          <w:rPr>
            <w:rFonts w:ascii="Cambria Math" w:hAnsi="Cambria Math"/>
            <w:sz w:val="20"/>
          </w:rPr>
          <m:t>=</m:t>
        </m:r>
      </m:oMath>
      <w:r w:rsidRPr="00BB7280">
        <w:rPr>
          <w:sz w:val="20"/>
        </w:rPr>
        <w:t xml:space="preserve"> 38.215 SINR TX-RX beam pair </w:t>
      </w:r>
      <m:oMath>
        <m:d>
          <m:dPr>
            <m:ctrlPr>
              <w:rPr>
                <w:rFonts w:ascii="Cambria Math" w:hAnsi="Cambria Math"/>
                <w:i/>
                <w:sz w:val="20"/>
              </w:rPr>
            </m:ctrlPr>
          </m:dPr>
          <m:e>
            <m:r>
              <w:rPr>
                <w:rFonts w:ascii="Cambria Math" w:hAnsi="Cambria Math"/>
                <w:sz w:val="20"/>
              </w:rPr>
              <m:t>t,r</m:t>
            </m:r>
          </m:e>
        </m:d>
      </m:oMath>
      <w:r w:rsidRPr="00BB7280">
        <w:rPr>
          <w:sz w:val="20"/>
        </w:rPr>
        <w:t>.</w:t>
      </w:r>
    </w:p>
    <w:p w14:paraId="72261B1A" w14:textId="1F9A3665" w:rsidR="00BB7280" w:rsidRPr="00BB7280" w:rsidRDefault="00BB7280" w:rsidP="00BB7280">
      <w:pPr>
        <w:spacing w:after="120" w:line="288" w:lineRule="auto"/>
        <w:jc w:val="both"/>
        <w:rPr>
          <w:sz w:val="20"/>
        </w:rPr>
      </w:pPr>
      <w:r>
        <w:rPr>
          <w:sz w:val="20"/>
        </w:rPr>
        <w:t>Termed the RSRP-weighted SINR, this metric</w:t>
      </w:r>
      <w:r w:rsidRPr="00BB7280">
        <w:rPr>
          <w:sz w:val="20"/>
        </w:rPr>
        <w:t xml:space="preserve"> combines the advantageous features from both L1-RSRP (stronger TX beam power) and L1-SINR (weaker interference). In some scenarios, it is expected to offer some gain over L1-RSRP </w:t>
      </w:r>
      <w:r w:rsidRPr="00BB7280">
        <w:rPr>
          <w:sz w:val="20"/>
        </w:rPr>
        <w:lastRenderedPageBreak/>
        <w:t>since interference is taken into account. The benefit over L1-SINR is anticipated in scenarios where a TX beam with the highest L1-SINR but lower received power is chosen (which</w:t>
      </w:r>
      <w:r>
        <w:rPr>
          <w:sz w:val="20"/>
        </w:rPr>
        <w:t xml:space="preserve"> is not beneficial for TX beam selection).</w:t>
      </w:r>
      <w:r w:rsidRPr="00BB7280">
        <w:rPr>
          <w:sz w:val="20"/>
        </w:rPr>
        <w:t xml:space="preserve">  </w:t>
      </w:r>
    </w:p>
    <w:p w14:paraId="2D76A3A0" w14:textId="76389D23" w:rsidR="00BD66EA" w:rsidRPr="00E87AA9" w:rsidRDefault="00BD66EA" w:rsidP="00BB7280">
      <w:pPr>
        <w:spacing w:after="120" w:line="288" w:lineRule="auto"/>
        <w:ind w:firstLine="432"/>
        <w:jc w:val="both"/>
        <w:rPr>
          <w:rFonts w:eastAsia="MS Mincho"/>
          <w:sz w:val="20"/>
          <w:lang w:eastAsia="ja-JP"/>
        </w:rPr>
      </w:pPr>
      <w:r w:rsidRPr="00BB7280">
        <w:rPr>
          <w:rFonts w:eastAsia="MS Mincho"/>
          <w:sz w:val="20"/>
          <w:lang w:eastAsia="ja-JP"/>
        </w:rPr>
        <w:t xml:space="preserve">In a companion contribution </w:t>
      </w:r>
      <w:r w:rsidRPr="00BB7280">
        <w:rPr>
          <w:rFonts w:eastAsia="MS Mincho"/>
          <w:sz w:val="20"/>
          <w:lang w:eastAsia="ja-JP"/>
        </w:rPr>
        <w:fldChar w:fldCharType="begin"/>
      </w:r>
      <w:r w:rsidRPr="00BB7280">
        <w:rPr>
          <w:rFonts w:eastAsia="MS Mincho"/>
          <w:sz w:val="20"/>
          <w:lang w:eastAsia="ja-JP"/>
        </w:rPr>
        <w:instrText xml:space="preserve"> REF _Ref528939097 \r \h </w:instrText>
      </w:r>
      <w:r w:rsidR="00BB7280" w:rsidRPr="00BB7280">
        <w:rPr>
          <w:rFonts w:eastAsia="MS Mincho"/>
          <w:sz w:val="20"/>
          <w:lang w:eastAsia="ja-JP"/>
        </w:rPr>
        <w:instrText xml:space="preserve"> \* MERGEFORMAT </w:instrText>
      </w:r>
      <w:r w:rsidRPr="00BB7280">
        <w:rPr>
          <w:rFonts w:eastAsia="MS Mincho"/>
          <w:sz w:val="20"/>
          <w:lang w:eastAsia="ja-JP"/>
        </w:rPr>
      </w:r>
      <w:r w:rsidRPr="00BB7280">
        <w:rPr>
          <w:rFonts w:eastAsia="MS Mincho"/>
          <w:sz w:val="20"/>
          <w:lang w:eastAsia="ja-JP"/>
        </w:rPr>
        <w:fldChar w:fldCharType="separate"/>
      </w:r>
      <w:r w:rsidRPr="00BB7280">
        <w:rPr>
          <w:rFonts w:eastAsia="MS Mincho"/>
          <w:sz w:val="20"/>
          <w:lang w:eastAsia="ja-JP"/>
        </w:rPr>
        <w:t>[3]</w:t>
      </w:r>
      <w:r w:rsidRPr="00BB7280">
        <w:rPr>
          <w:rFonts w:eastAsia="MS Mincho"/>
          <w:sz w:val="20"/>
          <w:lang w:eastAsia="ja-JP"/>
        </w:rPr>
        <w:fldChar w:fldCharType="end"/>
      </w:r>
      <w:r w:rsidRPr="00BB7280">
        <w:rPr>
          <w:rFonts w:eastAsia="MS Mincho"/>
          <w:sz w:val="20"/>
          <w:lang w:eastAsia="ja-JP"/>
        </w:rPr>
        <w:t>, a system-level study on the CSI-</w:t>
      </w:r>
      <w:r>
        <w:rPr>
          <w:rFonts w:eastAsia="MS Mincho"/>
          <w:sz w:val="20"/>
          <w:lang w:eastAsia="ja-JP"/>
        </w:rPr>
        <w:t>SINR in TS 38.215 is performed which results in the following observation</w:t>
      </w:r>
      <w:r w:rsidR="00F849BE">
        <w:rPr>
          <w:rFonts w:eastAsia="MS Mincho"/>
          <w:sz w:val="20"/>
          <w:lang w:eastAsia="ja-JP"/>
        </w:rPr>
        <w:t xml:space="preserve"> (reproduced here)</w:t>
      </w:r>
      <w:r>
        <w:rPr>
          <w:rFonts w:eastAsia="MS Mincho"/>
          <w:sz w:val="20"/>
          <w:lang w:eastAsia="ja-JP"/>
        </w:rPr>
        <w:t>.</w:t>
      </w:r>
    </w:p>
    <w:p w14:paraId="168DFE0F" w14:textId="77777777" w:rsidR="00F849BE" w:rsidRDefault="00BD66EA" w:rsidP="00BD66EA">
      <w:pPr>
        <w:spacing w:after="120" w:line="288" w:lineRule="auto"/>
        <w:jc w:val="both"/>
        <w:rPr>
          <w:i/>
          <w:sz w:val="20"/>
        </w:rPr>
      </w:pPr>
      <w:r w:rsidRPr="00BD66EA">
        <w:rPr>
          <w:b/>
          <w:sz w:val="20"/>
          <w:u w:val="single"/>
        </w:rPr>
        <w:t>Observation</w:t>
      </w:r>
      <w:r w:rsidRPr="00BD66EA">
        <w:rPr>
          <w:i/>
          <w:sz w:val="20"/>
        </w:rPr>
        <w:t xml:space="preserve">: </w:t>
      </w:r>
    </w:p>
    <w:p w14:paraId="4439BF5E" w14:textId="090A7F24" w:rsidR="00E87AA9" w:rsidRDefault="00BD66EA" w:rsidP="00F849BE">
      <w:pPr>
        <w:pStyle w:val="ListParagraph"/>
        <w:numPr>
          <w:ilvl w:val="0"/>
          <w:numId w:val="30"/>
        </w:numPr>
        <w:spacing w:after="120" w:line="288" w:lineRule="auto"/>
        <w:ind w:leftChars="0"/>
        <w:jc w:val="both"/>
        <w:rPr>
          <w:i/>
          <w:sz w:val="20"/>
        </w:rPr>
      </w:pPr>
      <w:r w:rsidRPr="00F849BE">
        <w:rPr>
          <w:i/>
          <w:sz w:val="20"/>
        </w:rPr>
        <w:t>There is no observable difference in distributions of gNB and UE beam pair selection according to Rel.15 L1-RSRP and TS 38.215 CSI-SINR metrics.</w:t>
      </w:r>
    </w:p>
    <w:p w14:paraId="72BC37BB" w14:textId="3D47988E" w:rsidR="00F849BE" w:rsidRPr="00BB7280" w:rsidRDefault="00710B21" w:rsidP="00710B21">
      <w:pPr>
        <w:pStyle w:val="ListParagraph"/>
        <w:numPr>
          <w:ilvl w:val="0"/>
          <w:numId w:val="30"/>
        </w:numPr>
        <w:spacing w:before="60" w:after="120" w:line="288" w:lineRule="auto"/>
        <w:ind w:leftChars="0"/>
        <w:jc w:val="both"/>
        <w:rPr>
          <w:sz w:val="20"/>
        </w:rPr>
      </w:pPr>
      <w:r w:rsidRPr="00710B21">
        <w:rPr>
          <w:i/>
          <w:sz w:val="20"/>
        </w:rPr>
        <w:t>The TS 38.215 CSI-SINR metric results in slightly lower average and 50% UPT performance</w:t>
      </w:r>
      <w:r w:rsidRPr="00710B21" w:rsidDel="001C7365">
        <w:rPr>
          <w:i/>
          <w:sz w:val="20"/>
        </w:rPr>
        <w:t xml:space="preserve"> </w:t>
      </w:r>
      <w:r w:rsidRPr="00710B21">
        <w:rPr>
          <w:i/>
          <w:sz w:val="20"/>
        </w:rPr>
        <w:t xml:space="preserve">than Rel.15 L1-RSRP metric. Therefore, there is no perceivable benefit from 38.215 SINR in UPT. </w:t>
      </w:r>
    </w:p>
    <w:p w14:paraId="67F43AF9" w14:textId="77777777" w:rsidR="00BB7280" w:rsidRPr="00BB7280" w:rsidRDefault="00BB7280" w:rsidP="00BB7280">
      <w:pPr>
        <w:pStyle w:val="ListParagraph"/>
        <w:numPr>
          <w:ilvl w:val="0"/>
          <w:numId w:val="30"/>
        </w:numPr>
        <w:spacing w:before="60" w:after="120" w:line="288" w:lineRule="auto"/>
        <w:ind w:leftChars="0"/>
        <w:jc w:val="both"/>
        <w:rPr>
          <w:i/>
          <w:sz w:val="20"/>
        </w:rPr>
      </w:pPr>
      <w:r w:rsidRPr="00BB7280">
        <w:rPr>
          <w:i/>
          <w:sz w:val="20"/>
        </w:rPr>
        <w:t xml:space="preserve">The proposed weighted SINR metric shows large performance gain over both Rel. 15 L1-RSRP and TS 38.215 CSI-SINR metrics.  </w:t>
      </w:r>
    </w:p>
    <w:p w14:paraId="1AE5F506" w14:textId="0070E795" w:rsidR="00BD66EA" w:rsidRPr="00BB7280" w:rsidRDefault="00BD66EA" w:rsidP="00BB7280">
      <w:pPr>
        <w:spacing w:before="60" w:after="120" w:line="288" w:lineRule="auto"/>
        <w:jc w:val="both"/>
        <w:rPr>
          <w:sz w:val="20"/>
        </w:rPr>
      </w:pPr>
    </w:p>
    <w:p w14:paraId="160C5270" w14:textId="61AF3DE2" w:rsidR="009421EA" w:rsidRPr="00BD66EA" w:rsidRDefault="00BD66EA" w:rsidP="00E87AA9">
      <w:pPr>
        <w:pStyle w:val="0Maintext"/>
        <w:spacing w:after="120" w:afterAutospacing="0"/>
        <w:ind w:firstLine="0"/>
        <w:rPr>
          <w:lang w:val="en-US" w:eastAsia="ko-KR"/>
        </w:rPr>
      </w:pPr>
      <w:r w:rsidRPr="00BD66EA">
        <w:rPr>
          <w:lang w:val="en-US" w:eastAsia="ko-KR"/>
        </w:rPr>
        <w:t>This leads to the following proposal.</w:t>
      </w:r>
    </w:p>
    <w:p w14:paraId="0CE8009D" w14:textId="585C1DD7" w:rsidR="00713328" w:rsidRDefault="009421EA" w:rsidP="00BD66EA">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sidR="00BD66EA">
        <w:rPr>
          <w:i/>
          <w:lang w:val="en-US" w:eastAsia="ko-KR"/>
        </w:rPr>
        <w:t>If “interference aware</w:t>
      </w:r>
      <w:r>
        <w:rPr>
          <w:i/>
          <w:lang w:val="en-US" w:eastAsia="ko-KR"/>
        </w:rPr>
        <w:t>”</w:t>
      </w:r>
      <w:r w:rsidR="00BD66EA">
        <w:rPr>
          <w:i/>
          <w:lang w:val="en-US" w:eastAsia="ko-KR"/>
        </w:rPr>
        <w:t xml:space="preserve"> SINR-based beam reporting metric is to be supported in Rel.16, SINR definitions other than that from TS 38.215</w:t>
      </w:r>
      <w:r w:rsidR="00BB7280">
        <w:rPr>
          <w:i/>
          <w:lang w:val="en-US" w:eastAsia="ko-KR"/>
        </w:rPr>
        <w:t>, such as the RSRP-weighted L1-SINR,</w:t>
      </w:r>
      <w:r w:rsidR="00BD66EA">
        <w:rPr>
          <w:i/>
          <w:lang w:val="en-US" w:eastAsia="ko-KR"/>
        </w:rPr>
        <w:t xml:space="preserve"> </w:t>
      </w:r>
      <w:r w:rsidR="00BB7280">
        <w:rPr>
          <w:i/>
          <w:lang w:val="en-US" w:eastAsia="ko-KR"/>
        </w:rPr>
        <w:t>should be studied and evaluated</w:t>
      </w:r>
    </w:p>
    <w:p w14:paraId="3518F598" w14:textId="1EBBE583" w:rsidR="00CF67F3" w:rsidRDefault="00CF67F3" w:rsidP="00713328">
      <w:pPr>
        <w:spacing w:after="120" w:line="288" w:lineRule="auto"/>
        <w:jc w:val="both"/>
        <w:rPr>
          <w:sz w:val="20"/>
          <w:lang w:val="en-US"/>
        </w:rPr>
      </w:pPr>
    </w:p>
    <w:p w14:paraId="0C70D94D" w14:textId="0E6A6851" w:rsidR="00FB6F1A" w:rsidRPr="00E5152C" w:rsidRDefault="00FB6F1A" w:rsidP="00FB6F1A">
      <w:pPr>
        <w:pStyle w:val="Heading1"/>
        <w:spacing w:before="0"/>
        <w:jc w:val="both"/>
        <w:rPr>
          <w:lang w:val="en-US"/>
        </w:rPr>
      </w:pPr>
      <w:r w:rsidRPr="00E5152C">
        <w:rPr>
          <w:lang w:val="en-US"/>
        </w:rPr>
        <w:t>DL/UL beam indication with reduced latency and overhead</w:t>
      </w:r>
    </w:p>
    <w:p w14:paraId="6BCB86E3" w14:textId="77777777" w:rsidR="002D3358" w:rsidRPr="002D3358" w:rsidRDefault="002D3358" w:rsidP="002D3358">
      <w:pPr>
        <w:pStyle w:val="0Maintext"/>
        <w:spacing w:after="120" w:afterAutospacing="0"/>
        <w:rPr>
          <w:lang w:val="en-US"/>
        </w:rPr>
      </w:pPr>
      <w:r>
        <w:rPr>
          <w:lang w:val="en-US"/>
        </w:rPr>
        <w:t xml:space="preserve">The following agreement/conclusion was reached in RAN1 NR-AH 1901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p w14:paraId="5EDAB9BC" w14:textId="77777777" w:rsidR="004761AF" w:rsidRPr="004761AF" w:rsidRDefault="004761AF" w:rsidP="004761AF">
      <w:pPr>
        <w:spacing w:after="0"/>
        <w:rPr>
          <w:b/>
          <w:sz w:val="18"/>
          <w:highlight w:val="green"/>
          <w:lang w:eastAsia="x-none"/>
        </w:rPr>
      </w:pPr>
      <w:r w:rsidRPr="004761AF">
        <w:rPr>
          <w:b/>
          <w:sz w:val="18"/>
          <w:highlight w:val="green"/>
          <w:lang w:eastAsia="x-none"/>
        </w:rPr>
        <w:t>Agreement</w:t>
      </w:r>
    </w:p>
    <w:p w14:paraId="08145D4F" w14:textId="77777777" w:rsidR="004761AF" w:rsidRPr="004761AF" w:rsidRDefault="004761AF" w:rsidP="004761AF">
      <w:pPr>
        <w:pStyle w:val="LGTdoc"/>
        <w:spacing w:afterLines="0" w:line="240" w:lineRule="auto"/>
        <w:rPr>
          <w:sz w:val="18"/>
          <w:szCs w:val="20"/>
          <w:lang w:val="en-US"/>
        </w:rPr>
      </w:pPr>
      <w:r w:rsidRPr="004761AF">
        <w:rPr>
          <w:sz w:val="18"/>
          <w:szCs w:val="20"/>
          <w:lang w:val="en-US"/>
        </w:rPr>
        <w:t>For latency and overhead reduction for DL beam management,</w:t>
      </w:r>
    </w:p>
    <w:p w14:paraId="233076C1" w14:textId="77777777" w:rsidR="00B0520C" w:rsidRDefault="004761AF" w:rsidP="004761AF">
      <w:pPr>
        <w:pStyle w:val="ListParagraph"/>
        <w:numPr>
          <w:ilvl w:val="0"/>
          <w:numId w:val="37"/>
        </w:numPr>
        <w:spacing w:after="0"/>
        <w:ind w:leftChars="0"/>
        <w:jc w:val="both"/>
        <w:rPr>
          <w:rFonts w:eastAsia="SimSun"/>
          <w:sz w:val="18"/>
        </w:rPr>
      </w:pPr>
      <w:r w:rsidRPr="004761AF">
        <w:rPr>
          <w:rFonts w:eastAsia="SimSun"/>
          <w:sz w:val="18"/>
        </w:rPr>
        <w:t>No new CSI-RS design and no new term such as ‘sub-time unit’ or ‘sub-symbol’ are introduced in Rel-16, i.e., no support of sub-time unit for beam management RS shorter than 1 OFDM symbol</w:t>
      </w:r>
    </w:p>
    <w:p w14:paraId="58E9707F" w14:textId="4AF7E59C" w:rsidR="004761AF" w:rsidRPr="00B0520C" w:rsidRDefault="004761AF" w:rsidP="004761AF">
      <w:pPr>
        <w:pStyle w:val="ListParagraph"/>
        <w:numPr>
          <w:ilvl w:val="0"/>
          <w:numId w:val="37"/>
        </w:numPr>
        <w:spacing w:after="0"/>
        <w:ind w:leftChars="0"/>
        <w:jc w:val="both"/>
        <w:rPr>
          <w:rFonts w:eastAsia="SimSun"/>
          <w:sz w:val="18"/>
        </w:rPr>
      </w:pPr>
      <w:r w:rsidRPr="00B0520C">
        <w:rPr>
          <w:sz w:val="18"/>
          <w:lang w:val="en-US" w:eastAsia="x-none"/>
        </w:rPr>
        <w:t>Companies can provide further evaluation results and proposals for faster DL beam operation other than those requiring sub-time unit</w:t>
      </w:r>
    </w:p>
    <w:p w14:paraId="4C2E9A9A" w14:textId="46D57E91" w:rsidR="002D3358" w:rsidRDefault="002D3358" w:rsidP="00975844">
      <w:pPr>
        <w:spacing w:after="120" w:line="288" w:lineRule="auto"/>
        <w:jc w:val="both"/>
        <w:rPr>
          <w:sz w:val="20"/>
          <w:lang w:val="en-US"/>
        </w:rPr>
      </w:pPr>
    </w:p>
    <w:p w14:paraId="0E9E70DA" w14:textId="5F2C93CA" w:rsidR="005518B3" w:rsidRDefault="00EA6345" w:rsidP="0088264A">
      <w:pPr>
        <w:spacing w:after="120" w:line="288" w:lineRule="auto"/>
        <w:ind w:firstLine="360"/>
        <w:jc w:val="both"/>
        <w:rPr>
          <w:sz w:val="20"/>
          <w:lang w:val="en-US"/>
        </w:rPr>
      </w:pPr>
      <w:r>
        <w:rPr>
          <w:sz w:val="20"/>
          <w:lang w:val="en-US"/>
        </w:rPr>
        <w:t xml:space="preserve">One of the main issues on </w:t>
      </w:r>
      <w:r w:rsidR="002060AD" w:rsidRPr="00E5152C">
        <w:rPr>
          <w:sz w:val="20"/>
          <w:lang w:val="en-US"/>
        </w:rPr>
        <w:t>Rel.15</w:t>
      </w:r>
      <w:r>
        <w:rPr>
          <w:sz w:val="20"/>
          <w:lang w:val="en-US"/>
        </w:rPr>
        <w:t xml:space="preserve"> multi-beam design is the excessive RRC configuration.</w:t>
      </w:r>
      <w:r w:rsidR="00673F90">
        <w:rPr>
          <w:sz w:val="20"/>
          <w:lang w:val="en-US"/>
        </w:rPr>
        <w:t xml:space="preserve"> </w:t>
      </w:r>
      <w:r w:rsidR="005518B3">
        <w:rPr>
          <w:sz w:val="20"/>
          <w:lang w:val="en-US"/>
        </w:rPr>
        <w:t xml:space="preserve">This was intended to accommodate generous flexibility without costing too much burden on L1 DL control signaling. Since a number of the controlling RRC parameters may require </w:t>
      </w:r>
      <w:r w:rsidR="00F67589">
        <w:rPr>
          <w:sz w:val="20"/>
          <w:lang w:val="en-US"/>
        </w:rPr>
        <w:t xml:space="preserve">frequent </w:t>
      </w:r>
      <w:r w:rsidR="005518B3">
        <w:rPr>
          <w:sz w:val="20"/>
          <w:lang w:val="en-US"/>
        </w:rPr>
        <w:t>reconfiguration</w:t>
      </w:r>
      <w:r w:rsidR="00673F90">
        <w:rPr>
          <w:sz w:val="20"/>
          <w:lang w:val="en-US"/>
        </w:rPr>
        <w:t>, m</w:t>
      </w:r>
      <w:r w:rsidR="00673F90" w:rsidRPr="000919C5">
        <w:rPr>
          <w:sz w:val="20"/>
          <w:lang w:val="en-US"/>
        </w:rPr>
        <w:t>ulti-beam operation may require excessive use of RRC (re)configuration</w:t>
      </w:r>
      <w:r w:rsidR="005518B3">
        <w:rPr>
          <w:sz w:val="20"/>
          <w:lang w:val="en-US"/>
        </w:rPr>
        <w:t xml:space="preserve"> (L1 </w:t>
      </w:r>
      <w:r w:rsidR="005518B3" w:rsidRPr="005518B3">
        <w:rPr>
          <w:sz w:val="20"/>
          <w:lang w:val="en-US"/>
        </w:rPr>
        <w:sym w:font="Wingdings" w:char="F0E0"/>
      </w:r>
      <w:r w:rsidR="005518B3">
        <w:rPr>
          <w:sz w:val="20"/>
          <w:lang w:val="en-US"/>
        </w:rPr>
        <w:t xml:space="preserve"> L3 </w:t>
      </w:r>
      <w:r w:rsidR="005518B3" w:rsidRPr="005518B3">
        <w:rPr>
          <w:sz w:val="20"/>
          <w:lang w:val="en-US"/>
        </w:rPr>
        <w:sym w:font="Wingdings" w:char="F0E0"/>
      </w:r>
      <w:r w:rsidR="005518B3">
        <w:rPr>
          <w:sz w:val="20"/>
          <w:lang w:val="en-US"/>
        </w:rPr>
        <w:t xml:space="preserve"> L1) which imposes high latency. As this involves L3, frequent RRC reconfiguration essentially negates the purpose of “beam management” which is to circumvent higher-layer procedure(s) akin to L3 mobility. In addition, </w:t>
      </w:r>
      <w:r w:rsidR="005518B3" w:rsidRPr="000919C5">
        <w:rPr>
          <w:sz w:val="20"/>
          <w:lang w:val="en-US"/>
        </w:rPr>
        <w:t>RRC reconfiguration consumes PDSCH resources</w:t>
      </w:r>
      <w:r w:rsidR="005518B3">
        <w:rPr>
          <w:sz w:val="20"/>
          <w:lang w:val="en-US"/>
        </w:rPr>
        <w:t xml:space="preserve">. </w:t>
      </w:r>
    </w:p>
    <w:p w14:paraId="3669C0E9" w14:textId="0A1FDFBE" w:rsidR="0088264A" w:rsidRPr="005C2249" w:rsidRDefault="005518B3" w:rsidP="005C2249">
      <w:pPr>
        <w:spacing w:after="120" w:line="288" w:lineRule="auto"/>
        <w:ind w:firstLine="360"/>
        <w:jc w:val="both"/>
        <w:rPr>
          <w:sz w:val="20"/>
          <w:lang w:val="en-US"/>
        </w:rPr>
      </w:pPr>
      <w:r>
        <w:rPr>
          <w:sz w:val="20"/>
          <w:lang w:val="en-US"/>
        </w:rPr>
        <w:t xml:space="preserve">Therefore, one study that can result in significant reduction in latency and overhead is to assess features where the need for RRC (re) configuration </w:t>
      </w:r>
      <w:r w:rsidR="005C2249">
        <w:rPr>
          <w:sz w:val="20"/>
          <w:lang w:val="en-US"/>
        </w:rPr>
        <w:t xml:space="preserve">for DL/UL beam indication </w:t>
      </w:r>
      <w:r>
        <w:rPr>
          <w:sz w:val="20"/>
          <w:lang w:val="en-US"/>
        </w:rPr>
        <w:t>can be alleviated.</w:t>
      </w:r>
      <w:r w:rsidR="004E4D13">
        <w:rPr>
          <w:sz w:val="20"/>
          <w:lang w:val="en-US"/>
        </w:rPr>
        <w:t xml:space="preserve"> More specifically, this implies m</w:t>
      </w:r>
      <w:r w:rsidR="0088264A" w:rsidRPr="000919C5">
        <w:rPr>
          <w:sz w:val="20"/>
          <w:lang w:val="en-US"/>
        </w:rPr>
        <w:t>ore reliance on L1 control signaling</w:t>
      </w:r>
      <w:r w:rsidR="0088264A">
        <w:rPr>
          <w:sz w:val="20"/>
          <w:lang w:val="en-US"/>
        </w:rPr>
        <w:t xml:space="preserve"> (DCI)</w:t>
      </w:r>
      <w:r w:rsidR="0088264A" w:rsidRPr="000919C5">
        <w:rPr>
          <w:sz w:val="20"/>
          <w:lang w:val="en-US"/>
        </w:rPr>
        <w:t xml:space="preserve"> or, if needed, L2 control signaling</w:t>
      </w:r>
      <w:r w:rsidR="0088264A">
        <w:rPr>
          <w:sz w:val="20"/>
          <w:lang w:val="en-US"/>
        </w:rPr>
        <w:t xml:space="preserve"> (MAC CE)</w:t>
      </w:r>
      <w:r w:rsidR="004E4D13">
        <w:rPr>
          <w:sz w:val="20"/>
          <w:lang w:val="en-US"/>
        </w:rPr>
        <w:t>.</w:t>
      </w:r>
      <w:r w:rsidR="0088264A">
        <w:rPr>
          <w:sz w:val="20"/>
          <w:lang w:val="en-US"/>
        </w:rPr>
        <w:t xml:space="preserve"> The increase in PDCC</w:t>
      </w:r>
      <w:r w:rsidR="005C2249">
        <w:rPr>
          <w:sz w:val="20"/>
          <w:lang w:val="en-US"/>
        </w:rPr>
        <w:t>H overhead can be minimized by revisiting the flexibility offered in Rel.15</w:t>
      </w:r>
      <w:r w:rsidR="004E4D13">
        <w:rPr>
          <w:sz w:val="20"/>
          <w:lang w:val="en-US"/>
        </w:rPr>
        <w:t xml:space="preserve"> </w:t>
      </w:r>
      <w:r w:rsidR="005C2249">
        <w:rPr>
          <w:sz w:val="20"/>
          <w:lang w:val="en-US"/>
        </w:rPr>
        <w:t xml:space="preserve">– whether simplification can be done to reduce the number of options (in beam reporting, indication, and resource configuration used for beam measurement) in Rel.16. </w:t>
      </w:r>
    </w:p>
    <w:p w14:paraId="47B9B8C3" w14:textId="7584E822" w:rsidR="004E4D13" w:rsidRPr="004E4D13" w:rsidRDefault="004E4D13" w:rsidP="0088264A">
      <w:pPr>
        <w:spacing w:after="120" w:line="288" w:lineRule="auto"/>
        <w:rPr>
          <w:i/>
          <w:sz w:val="20"/>
          <w:lang w:val="en-US"/>
        </w:rPr>
      </w:pPr>
      <w:r w:rsidRPr="004E4D13">
        <w:rPr>
          <w:b/>
          <w:sz w:val="20"/>
          <w:u w:val="single"/>
          <w:lang w:val="en-US"/>
        </w:rPr>
        <w:t>Proposal</w:t>
      </w:r>
      <w:r>
        <w:rPr>
          <w:sz w:val="20"/>
          <w:lang w:val="en-US"/>
        </w:rPr>
        <w:t xml:space="preserve">: </w:t>
      </w:r>
      <w:r w:rsidRPr="004E4D13">
        <w:rPr>
          <w:i/>
          <w:sz w:val="20"/>
          <w:lang w:val="en-US"/>
        </w:rPr>
        <w:t xml:space="preserve">Revisit Rel.15 features and assess possible reduction </w:t>
      </w:r>
      <w:r w:rsidR="00A83449">
        <w:rPr>
          <w:i/>
          <w:sz w:val="20"/>
          <w:lang w:val="en-US"/>
        </w:rPr>
        <w:t xml:space="preserve">in </w:t>
      </w:r>
      <w:r w:rsidRPr="004E4D13">
        <w:rPr>
          <w:i/>
          <w:sz w:val="20"/>
          <w:lang w:val="en-US"/>
        </w:rPr>
        <w:t xml:space="preserve">reconfiguration signaling requirement for DL/UL beam indication (for data and control channels)  </w:t>
      </w:r>
    </w:p>
    <w:p w14:paraId="0D4FD2B3" w14:textId="6C3BA870" w:rsidR="004E4D13" w:rsidRPr="004E4D13" w:rsidRDefault="004E4D13" w:rsidP="0088264A">
      <w:pPr>
        <w:pStyle w:val="ListParagraph"/>
        <w:numPr>
          <w:ilvl w:val="0"/>
          <w:numId w:val="21"/>
        </w:numPr>
        <w:spacing w:after="120" w:line="288" w:lineRule="auto"/>
        <w:ind w:leftChars="0"/>
        <w:rPr>
          <w:i/>
          <w:sz w:val="20"/>
          <w:lang w:val="en-US"/>
        </w:rPr>
      </w:pPr>
      <w:r w:rsidRPr="004E4D13">
        <w:rPr>
          <w:i/>
          <w:sz w:val="20"/>
          <w:lang w:val="en-US"/>
        </w:rPr>
        <w:t>Streamline options/states (e.g. the number of CSI-RS resources, QCL associations) defined in RRC and/or use L1 control signaling instead</w:t>
      </w:r>
    </w:p>
    <w:p w14:paraId="3B554938" w14:textId="1B42DF81" w:rsidR="000919C5" w:rsidRDefault="000919C5" w:rsidP="002060AD">
      <w:pPr>
        <w:spacing w:after="120" w:line="288" w:lineRule="auto"/>
        <w:ind w:firstLine="360"/>
        <w:rPr>
          <w:sz w:val="20"/>
          <w:lang w:val="en-US"/>
        </w:rPr>
      </w:pPr>
    </w:p>
    <w:p w14:paraId="6F8519A6" w14:textId="2661F397" w:rsidR="005C2249" w:rsidRDefault="005C2249" w:rsidP="005C2249">
      <w:pPr>
        <w:spacing w:after="120" w:line="288" w:lineRule="auto"/>
        <w:ind w:firstLine="360"/>
        <w:jc w:val="both"/>
        <w:rPr>
          <w:sz w:val="20"/>
          <w:lang w:val="en-US"/>
        </w:rPr>
      </w:pPr>
      <w:r>
        <w:rPr>
          <w:sz w:val="20"/>
          <w:lang w:val="en-US"/>
        </w:rPr>
        <w:t>Another area where latency and resource usage can be reduced lies not so much in the flexibility of each feature, but rather the use cases. For instance,</w:t>
      </w:r>
      <w:r w:rsidR="008B736D">
        <w:rPr>
          <w:sz w:val="20"/>
          <w:lang w:val="en-US"/>
        </w:rPr>
        <w:t xml:space="preserve"> Rel.15 beam measurement and reporting tend to be </w:t>
      </w:r>
      <w:r w:rsidR="00A83449">
        <w:rPr>
          <w:sz w:val="20"/>
          <w:lang w:val="en-US"/>
        </w:rPr>
        <w:t>(over-)</w:t>
      </w:r>
      <w:r w:rsidR="008B736D">
        <w:rPr>
          <w:sz w:val="20"/>
          <w:lang w:val="en-US"/>
        </w:rPr>
        <w:t xml:space="preserve">designed to accommodate worst-case scenarios. In terms of UE capability, they were designed to enable UEs without beam correspondence. </w:t>
      </w:r>
      <w:r w:rsidR="00E36145">
        <w:rPr>
          <w:sz w:val="20"/>
          <w:lang w:val="en-US"/>
        </w:rPr>
        <w:t xml:space="preserve">While </w:t>
      </w:r>
      <w:r w:rsidR="00E36145">
        <w:rPr>
          <w:sz w:val="20"/>
          <w:lang w:val="en-US"/>
        </w:rPr>
        <w:lastRenderedPageBreak/>
        <w:t xml:space="preserve">the discussion whether beam (BPL) correspondence should be mandatory or not is still unresolved, it suffices to claim that for FR2 (where DL/UL reciprocity is quite common due to TDD or TDD-like operation), beam correspondence </w:t>
      </w:r>
      <w:r w:rsidR="003760D0">
        <w:rPr>
          <w:sz w:val="20"/>
          <w:lang w:val="en-US"/>
        </w:rPr>
        <w:t>allows n</w:t>
      </w:r>
      <w:r w:rsidR="00E36145">
        <w:rPr>
          <w:sz w:val="20"/>
          <w:lang w:val="en-US"/>
        </w:rPr>
        <w:t xml:space="preserve">ot only more flexibility, but also opportunities to reduce latency and overhead. </w:t>
      </w:r>
    </w:p>
    <w:p w14:paraId="4972DF6D" w14:textId="0FB857FC" w:rsidR="000919C5" w:rsidRPr="00E5152C" w:rsidRDefault="0071345F" w:rsidP="00B85F49">
      <w:pPr>
        <w:spacing w:after="120" w:line="288" w:lineRule="auto"/>
        <w:ind w:firstLine="360"/>
        <w:jc w:val="both"/>
        <w:rPr>
          <w:sz w:val="20"/>
          <w:lang w:val="en-US"/>
        </w:rPr>
      </w:pPr>
      <w:r>
        <w:rPr>
          <w:sz w:val="20"/>
          <w:lang w:val="en-US"/>
        </w:rPr>
        <w:t>For DL TX beam indication</w:t>
      </w:r>
      <w:r w:rsidRPr="0071345F">
        <w:rPr>
          <w:sz w:val="20"/>
          <w:lang w:val="en-US"/>
        </w:rPr>
        <w:t xml:space="preserve">, </w:t>
      </w:r>
      <w:r w:rsidRPr="003200F1">
        <w:rPr>
          <w:b/>
          <w:sz w:val="20"/>
          <w:lang w:val="en-US"/>
        </w:rPr>
        <w:fldChar w:fldCharType="begin"/>
      </w:r>
      <w:r w:rsidRPr="003200F1">
        <w:rPr>
          <w:b/>
          <w:sz w:val="20"/>
          <w:lang w:val="en-US"/>
        </w:rPr>
        <w:instrText xml:space="preserve"> REF _Ref525784097 \h  \* MERGEFORMAT </w:instrText>
      </w:r>
      <w:r w:rsidRPr="003200F1">
        <w:rPr>
          <w:b/>
          <w:sz w:val="20"/>
          <w:lang w:val="en-US"/>
        </w:rPr>
      </w:r>
      <w:r w:rsidRPr="003200F1">
        <w:rPr>
          <w:b/>
          <w:sz w:val="20"/>
          <w:lang w:val="en-US"/>
        </w:rPr>
        <w:fldChar w:fldCharType="separate"/>
      </w:r>
      <w:r w:rsidRPr="003200F1">
        <w:rPr>
          <w:b/>
          <w:sz w:val="20"/>
        </w:rPr>
        <w:t xml:space="preserve">Figure </w:t>
      </w:r>
      <w:r w:rsidRPr="003200F1">
        <w:rPr>
          <w:b/>
          <w:noProof/>
          <w:sz w:val="20"/>
        </w:rPr>
        <w:t>1</w:t>
      </w:r>
      <w:r w:rsidRPr="003200F1">
        <w:rPr>
          <w:b/>
          <w:sz w:val="20"/>
          <w:lang w:val="en-US"/>
        </w:rPr>
        <w:fldChar w:fldCharType="end"/>
      </w:r>
      <w:r>
        <w:rPr>
          <w:sz w:val="20"/>
          <w:lang w:val="en-US"/>
        </w:rPr>
        <w:t xml:space="preserve"> </w:t>
      </w:r>
      <w:r w:rsidRPr="0071345F">
        <w:rPr>
          <w:sz w:val="20"/>
          <w:lang w:val="en-US"/>
        </w:rPr>
        <w:t xml:space="preserve">depicts a timing diagram on the so-called “beam switching” which involves a sequence of </w:t>
      </w:r>
      <w:r w:rsidR="00B85F49">
        <w:rPr>
          <w:sz w:val="20"/>
          <w:lang w:val="en-US"/>
        </w:rPr>
        <w:t xml:space="preserve">UE </w:t>
      </w:r>
      <w:r w:rsidRPr="0071345F">
        <w:rPr>
          <w:sz w:val="20"/>
          <w:lang w:val="en-US"/>
        </w:rPr>
        <w:t>procedures:</w:t>
      </w:r>
      <w:r>
        <w:rPr>
          <w:sz w:val="20"/>
          <w:lang w:val="en-US"/>
        </w:rPr>
        <w:t xml:space="preserve"> </w:t>
      </w:r>
      <w:r w:rsidR="00B85F49">
        <w:rPr>
          <w:sz w:val="20"/>
          <w:lang w:val="en-US"/>
        </w:rPr>
        <w:t>receiving beam reporting trigger, (after some timing offset) receiving CSI-RS, measuring CSI-RS and calculating beam reporting, reporting beam metric, receiving DL beam indication (DCI reception).</w:t>
      </w:r>
      <w:r w:rsidR="003200F1">
        <w:rPr>
          <w:sz w:val="20"/>
          <w:lang w:val="en-US"/>
        </w:rPr>
        <w:t xml:space="preserve"> </w:t>
      </w:r>
      <w:r w:rsidR="00B85F49">
        <w:rPr>
          <w:sz w:val="20"/>
          <w:lang w:val="en-US"/>
        </w:rPr>
        <w:t xml:space="preserve">  </w:t>
      </w:r>
    </w:p>
    <w:p w14:paraId="742A1FC4" w14:textId="29A98851" w:rsidR="002060AD" w:rsidRDefault="002060AD" w:rsidP="002060AD">
      <w:pPr>
        <w:spacing w:after="120" w:line="288" w:lineRule="auto"/>
        <w:ind w:firstLine="360"/>
        <w:rPr>
          <w:sz w:val="20"/>
          <w:lang w:val="en-US" w:eastAsia="ko-KR"/>
        </w:rPr>
      </w:pPr>
    </w:p>
    <w:p w14:paraId="67DF5B99" w14:textId="2AED9959" w:rsidR="00461304" w:rsidRPr="0071345F" w:rsidRDefault="00461304" w:rsidP="002060AD">
      <w:pPr>
        <w:spacing w:after="120" w:line="288" w:lineRule="auto"/>
        <w:ind w:firstLine="360"/>
        <w:rPr>
          <w:sz w:val="18"/>
          <w:lang w:val="en-US" w:eastAsia="ko-KR"/>
        </w:rPr>
      </w:pPr>
      <w:r w:rsidRPr="0071345F">
        <w:rPr>
          <w:noProof/>
          <w:sz w:val="18"/>
          <w:lang w:val="en-US"/>
        </w:rPr>
        <w:drawing>
          <wp:inline distT="0" distB="0" distL="0" distR="0" wp14:anchorId="7FE39CEF" wp14:editId="007BDD83">
            <wp:extent cx="5820395" cy="914400"/>
            <wp:effectExtent l="0" t="0" r="9525"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rotWithShape="1">
                    <a:blip r:embed="rId8"/>
                    <a:srcRect r="7404"/>
                    <a:stretch/>
                  </pic:blipFill>
                  <pic:spPr>
                    <a:xfrm>
                      <a:off x="0" y="0"/>
                      <a:ext cx="5832363" cy="916280"/>
                    </a:xfrm>
                    <a:prstGeom prst="rect">
                      <a:avLst/>
                    </a:prstGeom>
                  </pic:spPr>
                </pic:pic>
              </a:graphicData>
            </a:graphic>
          </wp:inline>
        </w:drawing>
      </w:r>
    </w:p>
    <w:p w14:paraId="7820ABFE" w14:textId="448D0683" w:rsidR="005C2249" w:rsidRDefault="005C2249" w:rsidP="005C2249">
      <w:pPr>
        <w:pStyle w:val="Caption"/>
        <w:jc w:val="center"/>
        <w:rPr>
          <w:sz w:val="20"/>
          <w:lang w:val="en-US" w:eastAsia="ko-KR"/>
        </w:rPr>
      </w:pPr>
      <w:bookmarkStart w:id="2" w:name="_Ref525784097"/>
      <w:bookmarkStart w:id="3" w:name="_Ref525784092"/>
      <w:r w:rsidRPr="0071345F">
        <w:rPr>
          <w:sz w:val="20"/>
        </w:rP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71345F">
        <w:rPr>
          <w:b w:val="0"/>
          <w:sz w:val="20"/>
        </w:rPr>
        <w:t>DL TX beam switching based on Rel.15 design</w:t>
      </w:r>
      <w:r w:rsidR="008B736D" w:rsidRPr="0071345F">
        <w:rPr>
          <w:b w:val="0"/>
          <w:sz w:val="20"/>
        </w:rPr>
        <w:t xml:space="preserve"> (CSI-RS based measurement)</w:t>
      </w:r>
      <w:bookmarkEnd w:id="3"/>
    </w:p>
    <w:p w14:paraId="0CD5AFB3" w14:textId="2E142967" w:rsidR="00461304" w:rsidRDefault="00461304" w:rsidP="002060AD">
      <w:pPr>
        <w:spacing w:after="120" w:line="288" w:lineRule="auto"/>
        <w:ind w:firstLine="360"/>
        <w:rPr>
          <w:sz w:val="20"/>
          <w:lang w:val="en-US" w:eastAsia="ko-KR"/>
        </w:rPr>
      </w:pPr>
    </w:p>
    <w:p w14:paraId="56851980" w14:textId="085B7D1F" w:rsidR="003200F1" w:rsidRDefault="003200F1" w:rsidP="003200F1">
      <w:pPr>
        <w:spacing w:after="120" w:line="288" w:lineRule="auto"/>
        <w:ind w:firstLine="360"/>
        <w:jc w:val="both"/>
        <w:rPr>
          <w:sz w:val="20"/>
          <w:lang w:val="en-US" w:eastAsia="ko-KR"/>
        </w:rPr>
      </w:pPr>
      <w:r>
        <w:rPr>
          <w:sz w:val="20"/>
          <w:lang w:val="en-US" w:eastAsia="ko-KR"/>
        </w:rPr>
        <w:t xml:space="preserve">If beam correspondence holds, the “beam switching” process can be simplified by utilizing SRS instead of CSI-RS as depicted in </w:t>
      </w:r>
      <w:r>
        <w:rPr>
          <w:sz w:val="20"/>
          <w:lang w:val="en-US" w:eastAsia="ko-KR"/>
        </w:rPr>
        <w:fldChar w:fldCharType="begin"/>
      </w:r>
      <w:r>
        <w:rPr>
          <w:sz w:val="20"/>
          <w:lang w:val="en-US" w:eastAsia="ko-KR"/>
        </w:rPr>
        <w:instrText xml:space="preserve"> REF _Ref525784442 \h  \* MERGEFORMAT </w:instrText>
      </w:r>
      <w:r>
        <w:rPr>
          <w:sz w:val="20"/>
          <w:lang w:val="en-US" w:eastAsia="ko-KR"/>
        </w:rPr>
      </w:r>
      <w:r>
        <w:rPr>
          <w:sz w:val="20"/>
          <w:lang w:val="en-US" w:eastAsia="ko-KR"/>
        </w:rPr>
        <w:fldChar w:fldCharType="separate"/>
      </w:r>
      <w:r w:rsidRPr="0071345F">
        <w:rPr>
          <w:b/>
          <w:sz w:val="20"/>
        </w:rPr>
        <w:t xml:space="preserve">Figure </w:t>
      </w:r>
      <w:r w:rsidRPr="0071345F">
        <w:rPr>
          <w:b/>
          <w:noProof/>
          <w:sz w:val="20"/>
        </w:rPr>
        <w:t>2</w:t>
      </w:r>
      <w:r>
        <w:rPr>
          <w:sz w:val="20"/>
          <w:lang w:val="en-US" w:eastAsia="ko-KR"/>
        </w:rPr>
        <w:fldChar w:fldCharType="end"/>
      </w:r>
      <w:r>
        <w:rPr>
          <w:sz w:val="20"/>
          <w:lang w:val="en-US" w:eastAsia="ko-KR"/>
        </w:rPr>
        <w:t xml:space="preserve">. Compared to </w:t>
      </w:r>
      <w:r w:rsidRPr="003200F1">
        <w:rPr>
          <w:b/>
          <w:sz w:val="20"/>
          <w:lang w:val="en-US" w:eastAsia="ko-KR"/>
        </w:rPr>
        <w:fldChar w:fldCharType="begin"/>
      </w:r>
      <w:r w:rsidRPr="003200F1">
        <w:rPr>
          <w:b/>
          <w:sz w:val="20"/>
          <w:lang w:val="en-US" w:eastAsia="ko-KR"/>
        </w:rPr>
        <w:instrText xml:space="preserve"> REF _Ref525784097 \h  \* MERGEFORMAT </w:instrText>
      </w:r>
      <w:r w:rsidRPr="003200F1">
        <w:rPr>
          <w:b/>
          <w:sz w:val="20"/>
          <w:lang w:val="en-US" w:eastAsia="ko-KR"/>
        </w:rPr>
      </w:r>
      <w:r w:rsidRPr="003200F1">
        <w:rPr>
          <w:b/>
          <w:sz w:val="20"/>
          <w:lang w:val="en-US" w:eastAsia="ko-KR"/>
        </w:rPr>
        <w:fldChar w:fldCharType="separate"/>
      </w:r>
      <w:r w:rsidRPr="003200F1">
        <w:rPr>
          <w:b/>
          <w:sz w:val="20"/>
        </w:rPr>
        <w:t xml:space="preserve">Figure </w:t>
      </w:r>
      <w:r w:rsidRPr="003200F1">
        <w:rPr>
          <w:b/>
          <w:noProof/>
        </w:rPr>
        <w:t>1</w:t>
      </w:r>
      <w:r w:rsidRPr="003200F1">
        <w:rPr>
          <w:b/>
          <w:sz w:val="20"/>
          <w:lang w:val="en-US" w:eastAsia="ko-KR"/>
        </w:rPr>
        <w:fldChar w:fldCharType="end"/>
      </w:r>
      <w:r>
        <w:rPr>
          <w:sz w:val="20"/>
          <w:lang w:val="en-US" w:eastAsia="ko-KR"/>
        </w:rPr>
        <w:t xml:space="preserve">, it is apparent that using SRS as the reference for DL beam indication at least avoids the latency caused by the time offset between the UL-related DCI for CSI request and AP-CSI-RS transmission. This can be done by simply introducing SRS resource ID (in addition to CSI-RS and SSB IDs) in the TCI state definition for DL beam indication.  </w:t>
      </w:r>
    </w:p>
    <w:p w14:paraId="0CCA4E8E" w14:textId="28806DE5" w:rsidR="00842E82" w:rsidRPr="00842E82" w:rsidRDefault="00E36145" w:rsidP="00842E82">
      <w:pPr>
        <w:spacing w:after="120" w:line="288" w:lineRule="auto"/>
        <w:rPr>
          <w:i/>
          <w:sz w:val="20"/>
          <w:lang w:val="en-US"/>
        </w:rPr>
      </w:pPr>
      <w:r w:rsidRPr="003200F1">
        <w:rPr>
          <w:b/>
          <w:sz w:val="20"/>
          <w:u w:val="single"/>
          <w:lang w:val="en-US"/>
        </w:rPr>
        <w:t>Proposal</w:t>
      </w:r>
      <w:r w:rsidRPr="000919C5">
        <w:rPr>
          <w:sz w:val="20"/>
          <w:lang w:val="en-US"/>
        </w:rPr>
        <w:t>:</w:t>
      </w:r>
      <w:r w:rsidR="00CF251E">
        <w:rPr>
          <w:sz w:val="20"/>
          <w:lang w:val="en-US"/>
        </w:rPr>
        <w:t xml:space="preserve"> </w:t>
      </w:r>
      <w:r w:rsidR="00CF251E" w:rsidRPr="00CF251E">
        <w:rPr>
          <w:i/>
          <w:sz w:val="20"/>
          <w:lang w:val="en-US"/>
        </w:rPr>
        <w:t>Introduce the u</w:t>
      </w:r>
      <w:r w:rsidRPr="00CF251E">
        <w:rPr>
          <w:i/>
          <w:sz w:val="20"/>
          <w:lang w:val="en-US"/>
        </w:rPr>
        <w:t>se of SRS</w:t>
      </w:r>
      <w:r w:rsidRPr="00842E82">
        <w:rPr>
          <w:i/>
          <w:sz w:val="20"/>
          <w:lang w:val="en-US"/>
        </w:rPr>
        <w:t xml:space="preserve"> for aiding DL beam indication by including SRS resource ID in TCI state definition </w:t>
      </w:r>
    </w:p>
    <w:p w14:paraId="1C050E3E" w14:textId="77777777" w:rsidR="00842E82" w:rsidRDefault="00842E82" w:rsidP="002060AD">
      <w:pPr>
        <w:spacing w:after="120" w:line="288" w:lineRule="auto"/>
        <w:ind w:firstLine="360"/>
        <w:rPr>
          <w:sz w:val="20"/>
          <w:lang w:val="en-US" w:eastAsia="ko-KR"/>
        </w:rPr>
      </w:pPr>
    </w:p>
    <w:p w14:paraId="01C6A7B2" w14:textId="539A6BD0" w:rsidR="00461304" w:rsidRDefault="00461304" w:rsidP="005C2249">
      <w:pPr>
        <w:spacing w:after="120" w:line="288" w:lineRule="auto"/>
        <w:jc w:val="center"/>
        <w:rPr>
          <w:sz w:val="20"/>
          <w:lang w:val="en-US" w:eastAsia="ko-KR"/>
        </w:rPr>
      </w:pPr>
      <w:r w:rsidRPr="00461304">
        <w:rPr>
          <w:noProof/>
          <w:sz w:val="20"/>
          <w:lang w:val="en-US"/>
        </w:rPr>
        <w:drawing>
          <wp:inline distT="0" distB="0" distL="0" distR="0" wp14:anchorId="430B95E4" wp14:editId="6EB6CA7E">
            <wp:extent cx="4248150" cy="895578"/>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rotWithShape="1">
                    <a:blip r:embed="rId9"/>
                    <a:srcRect r="30170"/>
                    <a:stretch/>
                  </pic:blipFill>
                  <pic:spPr>
                    <a:xfrm>
                      <a:off x="0" y="0"/>
                      <a:ext cx="4270792" cy="900351"/>
                    </a:xfrm>
                    <a:prstGeom prst="rect">
                      <a:avLst/>
                    </a:prstGeom>
                  </pic:spPr>
                </pic:pic>
              </a:graphicData>
            </a:graphic>
          </wp:inline>
        </w:drawing>
      </w:r>
    </w:p>
    <w:p w14:paraId="223EE75F" w14:textId="3EEC9E51" w:rsidR="00461304" w:rsidRPr="00834E69" w:rsidRDefault="005C2249" w:rsidP="00834E69">
      <w:pPr>
        <w:spacing w:after="120" w:line="288" w:lineRule="auto"/>
        <w:jc w:val="center"/>
        <w:rPr>
          <w:b/>
          <w:sz w:val="18"/>
          <w:lang w:val="en-US" w:eastAsia="ko-KR"/>
        </w:rPr>
      </w:pPr>
      <w:bookmarkStart w:id="4" w:name="_Ref525784442"/>
      <w:r w:rsidRPr="0071345F">
        <w:rPr>
          <w:b/>
          <w:sz w:val="20"/>
        </w:rPr>
        <w:t xml:space="preserve">Figure </w:t>
      </w:r>
      <w:r w:rsidRPr="0071345F">
        <w:rPr>
          <w:b/>
          <w:sz w:val="20"/>
        </w:rPr>
        <w:fldChar w:fldCharType="begin"/>
      </w:r>
      <w:r w:rsidRPr="0071345F">
        <w:rPr>
          <w:b/>
          <w:sz w:val="20"/>
        </w:rPr>
        <w:instrText xml:space="preserve"> SEQ Figure \* ARABIC </w:instrText>
      </w:r>
      <w:r w:rsidRPr="0071345F">
        <w:rPr>
          <w:b/>
          <w:sz w:val="20"/>
        </w:rPr>
        <w:fldChar w:fldCharType="separate"/>
      </w:r>
      <w:r w:rsidR="0071345F" w:rsidRPr="0071345F">
        <w:rPr>
          <w:b/>
          <w:noProof/>
          <w:sz w:val="20"/>
        </w:rPr>
        <w:t>2</w:t>
      </w:r>
      <w:r w:rsidRPr="0071345F">
        <w:rPr>
          <w:b/>
          <w:sz w:val="20"/>
        </w:rPr>
        <w:fldChar w:fldCharType="end"/>
      </w:r>
      <w:bookmarkEnd w:id="4"/>
      <w:r w:rsidRPr="0071345F">
        <w:rPr>
          <w:b/>
          <w:sz w:val="20"/>
        </w:rPr>
        <w:t xml:space="preserve"> </w:t>
      </w:r>
      <w:r w:rsidRPr="0071345F">
        <w:rPr>
          <w:sz w:val="20"/>
        </w:rPr>
        <w:t>DL TX beam switching</w:t>
      </w:r>
      <w:r w:rsidR="008B736D" w:rsidRPr="0071345F">
        <w:rPr>
          <w:sz w:val="20"/>
        </w:rPr>
        <w:t xml:space="preserve"> with SRS-based measurement</w:t>
      </w:r>
    </w:p>
    <w:p w14:paraId="76283925" w14:textId="5894FDB9" w:rsidR="00B32467" w:rsidRDefault="00B32467" w:rsidP="003F70AC">
      <w:pPr>
        <w:spacing w:after="120" w:line="288" w:lineRule="auto"/>
        <w:jc w:val="both"/>
        <w:rPr>
          <w:sz w:val="20"/>
          <w:lang w:val="en-US" w:eastAsia="ko-KR"/>
        </w:rPr>
      </w:pPr>
    </w:p>
    <w:p w14:paraId="1AE11047" w14:textId="77579626" w:rsidR="00C4097C" w:rsidRDefault="007750AB" w:rsidP="00C4097C">
      <w:pPr>
        <w:spacing w:after="120" w:line="288" w:lineRule="auto"/>
        <w:ind w:firstLine="360"/>
        <w:jc w:val="both"/>
        <w:rPr>
          <w:sz w:val="20"/>
          <w:lang w:val="en-US" w:eastAsia="ko-KR"/>
        </w:rPr>
      </w:pPr>
      <w:r>
        <w:rPr>
          <w:sz w:val="20"/>
          <w:lang w:val="en-US" w:eastAsia="ko-KR"/>
        </w:rPr>
        <w:t>In R</w:t>
      </w:r>
      <w:r w:rsidRPr="007750AB">
        <w:rPr>
          <w:sz w:val="20"/>
          <w:lang w:val="en-US" w:eastAsia="ko-KR"/>
        </w:rPr>
        <w:t>el</w:t>
      </w:r>
      <w:r>
        <w:rPr>
          <w:sz w:val="20"/>
          <w:lang w:val="en-US" w:eastAsia="ko-KR"/>
        </w:rPr>
        <w:t>.15, DCI format 0_0 cannot be used with</w:t>
      </w:r>
      <w:r w:rsidRPr="007750AB">
        <w:rPr>
          <w:sz w:val="20"/>
          <w:lang w:val="en-US" w:eastAsia="ko-KR"/>
        </w:rPr>
        <w:t xml:space="preserve"> a</w:t>
      </w:r>
      <w:r>
        <w:rPr>
          <w:sz w:val="20"/>
          <w:lang w:val="en-US" w:eastAsia="ko-KR"/>
        </w:rPr>
        <w:t>n FR2 SCell if there is no PUCCH resource configured for</w:t>
      </w:r>
      <w:r w:rsidRPr="007750AB">
        <w:rPr>
          <w:sz w:val="20"/>
          <w:lang w:val="en-US" w:eastAsia="ko-KR"/>
        </w:rPr>
        <w:t xml:space="preserve"> that SCell.</w:t>
      </w:r>
      <w:r w:rsidR="006E4DC0">
        <w:rPr>
          <w:sz w:val="20"/>
          <w:lang w:val="en-US" w:eastAsia="ko-KR"/>
        </w:rPr>
        <w:t xml:space="preserve"> This limitation should be removed </w:t>
      </w:r>
      <w:r w:rsidR="00EF57AE">
        <w:rPr>
          <w:sz w:val="20"/>
          <w:lang w:val="en-US" w:eastAsia="ko-KR"/>
        </w:rPr>
        <w:t xml:space="preserve">at least </w:t>
      </w:r>
      <w:r w:rsidR="006E4DC0">
        <w:rPr>
          <w:sz w:val="20"/>
          <w:lang w:val="en-US" w:eastAsia="ko-KR"/>
        </w:rPr>
        <w:t xml:space="preserve">for the following </w:t>
      </w:r>
      <w:r w:rsidR="00EF57AE">
        <w:rPr>
          <w:sz w:val="20"/>
          <w:lang w:val="en-US" w:eastAsia="ko-KR"/>
        </w:rPr>
        <w:t>reasons:</w:t>
      </w:r>
    </w:p>
    <w:p w14:paraId="136EF874" w14:textId="41421AFE" w:rsidR="00EF57AE" w:rsidRDefault="00C4097C" w:rsidP="00C4097C">
      <w:pPr>
        <w:pStyle w:val="ListParagraph"/>
        <w:numPr>
          <w:ilvl w:val="0"/>
          <w:numId w:val="21"/>
        </w:numPr>
        <w:spacing w:after="120" w:line="288" w:lineRule="auto"/>
        <w:ind w:leftChars="0"/>
        <w:jc w:val="both"/>
        <w:rPr>
          <w:sz w:val="20"/>
          <w:lang w:val="en-US" w:eastAsia="ko-KR"/>
        </w:rPr>
      </w:pPr>
      <w:r>
        <w:rPr>
          <w:sz w:val="20"/>
          <w:lang w:val="en-US" w:eastAsia="ko-KR"/>
        </w:rPr>
        <w:t xml:space="preserve">The payload of </w:t>
      </w:r>
      <w:r w:rsidRPr="00C4097C">
        <w:rPr>
          <w:sz w:val="20"/>
          <w:lang w:val="en-US" w:eastAsia="ko-KR"/>
        </w:rPr>
        <w:t xml:space="preserve">DCI format 0_0 </w:t>
      </w:r>
      <w:r>
        <w:rPr>
          <w:sz w:val="20"/>
          <w:lang w:val="en-US" w:eastAsia="ko-KR"/>
        </w:rPr>
        <w:t xml:space="preserve">is almost half that of </w:t>
      </w:r>
      <w:r w:rsidRPr="00C4097C">
        <w:rPr>
          <w:sz w:val="20"/>
          <w:lang w:val="en-US" w:eastAsia="ko-KR"/>
        </w:rPr>
        <w:t xml:space="preserve">DCI format 0_1 </w:t>
      </w:r>
      <w:r>
        <w:rPr>
          <w:sz w:val="20"/>
          <w:lang w:val="en-US" w:eastAsia="ko-KR"/>
        </w:rPr>
        <w:t>(</w:t>
      </w:r>
      <w:r w:rsidRPr="00C4097C">
        <w:rPr>
          <w:sz w:val="20"/>
          <w:lang w:val="en-US" w:eastAsia="ko-KR"/>
        </w:rPr>
        <w:t xml:space="preserve">32 </w:t>
      </w:r>
      <w:r>
        <w:rPr>
          <w:sz w:val="20"/>
          <w:lang w:val="en-US" w:eastAsia="ko-KR"/>
        </w:rPr>
        <w:t xml:space="preserve">vs. </w:t>
      </w:r>
      <w:r w:rsidRPr="00C4097C">
        <w:rPr>
          <w:sz w:val="20"/>
          <w:lang w:val="en-US" w:eastAsia="ko-KR"/>
        </w:rPr>
        <w:t>57 information bits)</w:t>
      </w:r>
      <w:r>
        <w:rPr>
          <w:sz w:val="20"/>
          <w:lang w:val="en-US" w:eastAsia="ko-KR"/>
        </w:rPr>
        <w:t xml:space="preserve"> and thus permits better coverage. </w:t>
      </w:r>
    </w:p>
    <w:p w14:paraId="1C7F0F6D" w14:textId="76BF25F4" w:rsidR="00C4097C" w:rsidRPr="00C4097C" w:rsidRDefault="00C4097C" w:rsidP="00E75A73">
      <w:pPr>
        <w:pStyle w:val="ListParagraph"/>
        <w:numPr>
          <w:ilvl w:val="0"/>
          <w:numId w:val="21"/>
        </w:numPr>
        <w:spacing w:after="120" w:line="288" w:lineRule="auto"/>
        <w:ind w:leftChars="0"/>
        <w:jc w:val="both"/>
        <w:rPr>
          <w:sz w:val="20"/>
          <w:lang w:val="en-US" w:eastAsia="ko-KR"/>
        </w:rPr>
      </w:pPr>
      <w:r>
        <w:rPr>
          <w:sz w:val="20"/>
          <w:lang w:val="en-US" w:eastAsia="ko-KR"/>
        </w:rPr>
        <w:t>Coverage limitation from not being able to use DCI format 0_0 is especially relevant for CA scenarios.</w:t>
      </w:r>
      <w:r w:rsidR="004D318C">
        <w:rPr>
          <w:sz w:val="20"/>
          <w:lang w:val="en-US" w:eastAsia="ko-KR"/>
        </w:rPr>
        <w:t xml:space="preserve"> For instance, consider </w:t>
      </w:r>
      <w:r w:rsidR="004D318C" w:rsidRPr="007750AB">
        <w:rPr>
          <w:sz w:val="20"/>
          <w:lang w:val="en-US" w:eastAsia="ko-KR"/>
        </w:rPr>
        <w:t>one carrier in FR1 as</w:t>
      </w:r>
      <w:r w:rsidR="004D318C">
        <w:rPr>
          <w:sz w:val="20"/>
          <w:lang w:val="en-US" w:eastAsia="ko-KR"/>
        </w:rPr>
        <w:t xml:space="preserve"> the</w:t>
      </w:r>
      <w:r w:rsidR="004D318C" w:rsidRPr="007750AB">
        <w:rPr>
          <w:sz w:val="20"/>
          <w:lang w:val="en-US" w:eastAsia="ko-KR"/>
        </w:rPr>
        <w:t xml:space="preserve"> primary cell and a few SCells in FR2.</w:t>
      </w:r>
      <w:r w:rsidR="004D318C">
        <w:rPr>
          <w:sz w:val="20"/>
          <w:lang w:val="en-US" w:eastAsia="ko-KR"/>
        </w:rPr>
        <w:t xml:space="preserve"> In this case, even if PUCCH </w:t>
      </w:r>
      <w:r w:rsidR="00E75A73">
        <w:rPr>
          <w:sz w:val="20"/>
          <w:lang w:val="en-US" w:eastAsia="ko-KR"/>
        </w:rPr>
        <w:t xml:space="preserve">resource </w:t>
      </w:r>
      <w:r w:rsidR="004D318C">
        <w:rPr>
          <w:sz w:val="20"/>
          <w:lang w:val="en-US" w:eastAsia="ko-KR"/>
        </w:rPr>
        <w:t>is configured for the PCell, DCI format 0_0 cannot be used even for cross carrier scheduling of any of the SCells.</w:t>
      </w:r>
      <w:r w:rsidR="00E75A73">
        <w:rPr>
          <w:sz w:val="20"/>
          <w:lang w:val="en-US" w:eastAsia="ko-KR"/>
        </w:rPr>
        <w:t xml:space="preserve"> </w:t>
      </w:r>
    </w:p>
    <w:p w14:paraId="47BF9E37" w14:textId="2C850918" w:rsidR="007750AB" w:rsidRPr="007750AB" w:rsidRDefault="007750AB" w:rsidP="007750AB">
      <w:pPr>
        <w:spacing w:after="120" w:line="288" w:lineRule="auto"/>
        <w:ind w:firstLine="360"/>
        <w:jc w:val="both"/>
        <w:rPr>
          <w:sz w:val="20"/>
          <w:lang w:val="en-US" w:eastAsia="ko-KR"/>
        </w:rPr>
      </w:pPr>
      <w:r w:rsidRPr="007750AB">
        <w:rPr>
          <w:sz w:val="20"/>
          <w:lang w:val="en-US" w:eastAsia="ko-KR"/>
        </w:rPr>
        <w:t xml:space="preserve"> </w:t>
      </w:r>
    </w:p>
    <w:p w14:paraId="1D258EE8" w14:textId="6AA02E45" w:rsidR="007750AB" w:rsidRDefault="007750AB" w:rsidP="007750AB">
      <w:pPr>
        <w:pStyle w:val="0Maintext"/>
        <w:spacing w:after="120" w:afterAutospacing="0"/>
        <w:ind w:firstLine="0"/>
        <w:rPr>
          <w:i/>
          <w:lang w:val="en-US" w:eastAsia="ko-KR"/>
        </w:rPr>
      </w:pPr>
      <w:r>
        <w:rPr>
          <w:b/>
          <w:u w:val="single"/>
          <w:lang w:val="en-US" w:eastAsia="ko-KR"/>
        </w:rPr>
        <w:t>Observation</w:t>
      </w:r>
      <w:r>
        <w:rPr>
          <w:i/>
          <w:lang w:val="en-US" w:eastAsia="ko-KR"/>
        </w:rPr>
        <w:t xml:space="preserve">: </w:t>
      </w:r>
      <w:r w:rsidR="00E75A73">
        <w:rPr>
          <w:i/>
          <w:lang w:val="en-US" w:eastAsia="ko-KR"/>
        </w:rPr>
        <w:t xml:space="preserve">In </w:t>
      </w:r>
      <w:r>
        <w:rPr>
          <w:i/>
          <w:lang w:val="en-US" w:eastAsia="ko-KR"/>
        </w:rPr>
        <w:t>Rel</w:t>
      </w:r>
      <w:r w:rsidR="00E75A73">
        <w:rPr>
          <w:i/>
          <w:lang w:val="en-US" w:eastAsia="ko-KR"/>
        </w:rPr>
        <w:t>.</w:t>
      </w:r>
      <w:r>
        <w:rPr>
          <w:i/>
          <w:lang w:val="en-US" w:eastAsia="ko-KR"/>
        </w:rPr>
        <w:t>15</w:t>
      </w:r>
      <w:r w:rsidR="00E75A73">
        <w:rPr>
          <w:i/>
          <w:lang w:val="en-US" w:eastAsia="ko-KR"/>
        </w:rPr>
        <w:t>, n</w:t>
      </w:r>
      <w:r>
        <w:rPr>
          <w:i/>
          <w:lang w:val="en-US" w:eastAsia="ko-KR"/>
        </w:rPr>
        <w:t xml:space="preserve">ot allowing DCI format 0_0 in SCell </w:t>
      </w:r>
      <w:r w:rsidR="00E75A73">
        <w:rPr>
          <w:i/>
          <w:lang w:val="en-US" w:eastAsia="ko-KR"/>
        </w:rPr>
        <w:t>with no PUCCH resource configuration</w:t>
      </w:r>
      <w:r>
        <w:rPr>
          <w:i/>
          <w:lang w:val="en-US" w:eastAsia="ko-KR"/>
        </w:rPr>
        <w:t xml:space="preserve"> </w:t>
      </w:r>
      <w:r w:rsidR="00E75A73">
        <w:rPr>
          <w:i/>
          <w:lang w:val="en-US" w:eastAsia="ko-KR"/>
        </w:rPr>
        <w:t xml:space="preserve">penalizes </w:t>
      </w:r>
      <w:r>
        <w:rPr>
          <w:i/>
          <w:lang w:val="en-US" w:eastAsia="ko-KR"/>
        </w:rPr>
        <w:t>CA deployment</w:t>
      </w:r>
      <w:r w:rsidR="00E75A73">
        <w:rPr>
          <w:i/>
          <w:lang w:val="en-US" w:eastAsia="ko-KR"/>
        </w:rPr>
        <w:t>, especially in terms of DL control coverage</w:t>
      </w:r>
      <w:r>
        <w:rPr>
          <w:i/>
          <w:lang w:val="en-US" w:eastAsia="ko-KR"/>
        </w:rPr>
        <w:t>.</w:t>
      </w:r>
    </w:p>
    <w:p w14:paraId="22E7D09D" w14:textId="61F7DFF5" w:rsidR="00461304" w:rsidRPr="00274FC6" w:rsidRDefault="007750AB" w:rsidP="00274FC6">
      <w:pPr>
        <w:spacing w:after="120" w:line="288" w:lineRule="auto"/>
        <w:rPr>
          <w:i/>
          <w:sz w:val="20"/>
          <w:lang w:val="en-US"/>
        </w:rPr>
      </w:pPr>
      <w:r>
        <w:rPr>
          <w:b/>
          <w:sz w:val="20"/>
          <w:u w:val="single"/>
          <w:lang w:val="en-US"/>
        </w:rPr>
        <w:t>Proposal</w:t>
      </w:r>
      <w:r>
        <w:rPr>
          <w:sz w:val="20"/>
          <w:lang w:val="en-US"/>
        </w:rPr>
        <w:t xml:space="preserve">: </w:t>
      </w:r>
      <w:r w:rsidR="00E75A73">
        <w:rPr>
          <w:i/>
          <w:sz w:val="20"/>
          <w:lang w:val="en-US"/>
        </w:rPr>
        <w:t>Support DCI format 0_0 for</w:t>
      </w:r>
      <w:r>
        <w:rPr>
          <w:i/>
          <w:sz w:val="20"/>
          <w:lang w:val="en-US"/>
        </w:rPr>
        <w:t xml:space="preserve"> </w:t>
      </w:r>
      <w:r w:rsidR="00E75A73">
        <w:rPr>
          <w:i/>
          <w:sz w:val="20"/>
          <w:lang w:val="en-US"/>
        </w:rPr>
        <w:t>any SCell</w:t>
      </w:r>
      <w:r>
        <w:rPr>
          <w:i/>
          <w:sz w:val="20"/>
          <w:lang w:val="en-US"/>
        </w:rPr>
        <w:t xml:space="preserve"> in FR2</w:t>
      </w:r>
      <w:r w:rsidR="007302D0">
        <w:rPr>
          <w:i/>
          <w:sz w:val="20"/>
          <w:lang w:val="en-US"/>
        </w:rPr>
        <w:t xml:space="preserve"> </w:t>
      </w:r>
      <w:r w:rsidR="00DC4E80">
        <w:rPr>
          <w:i/>
          <w:sz w:val="20"/>
          <w:lang w:val="en-US"/>
        </w:rPr>
        <w:t>even when</w:t>
      </w:r>
      <w:r w:rsidR="007302D0">
        <w:rPr>
          <w:i/>
          <w:sz w:val="20"/>
          <w:lang w:val="en-US"/>
        </w:rPr>
        <w:t xml:space="preserve"> PUCCH resource configuration</w:t>
      </w:r>
      <w:r w:rsidR="00DC4E80">
        <w:rPr>
          <w:i/>
          <w:sz w:val="20"/>
          <w:lang w:val="en-US"/>
        </w:rPr>
        <w:t xml:space="preserve"> is absent</w:t>
      </w:r>
      <w:r>
        <w:rPr>
          <w:i/>
          <w:sz w:val="20"/>
          <w:lang w:val="en-US"/>
        </w:rPr>
        <w:t xml:space="preserve">. </w:t>
      </w:r>
    </w:p>
    <w:p w14:paraId="4044B4F6" w14:textId="77777777" w:rsidR="007750AB" w:rsidRPr="00E5152C" w:rsidRDefault="007750AB" w:rsidP="002060AD">
      <w:pPr>
        <w:spacing w:after="120" w:line="288" w:lineRule="auto"/>
        <w:ind w:firstLine="360"/>
        <w:rPr>
          <w:sz w:val="20"/>
          <w:lang w:val="en-US" w:eastAsia="ko-KR"/>
        </w:rPr>
      </w:pPr>
    </w:p>
    <w:p w14:paraId="19431F9E" w14:textId="1CC84485" w:rsidR="00FB6F1A" w:rsidRPr="00E5152C" w:rsidRDefault="00FB6F1A" w:rsidP="00FB6F1A">
      <w:pPr>
        <w:pStyle w:val="Heading1"/>
        <w:spacing w:before="0"/>
        <w:jc w:val="both"/>
        <w:rPr>
          <w:lang w:val="en-US"/>
        </w:rPr>
      </w:pPr>
      <w:r w:rsidRPr="00E5152C">
        <w:rPr>
          <w:lang w:val="en-US"/>
        </w:rPr>
        <w:lastRenderedPageBreak/>
        <w:t>UL beam indication for multi-panel UE</w:t>
      </w:r>
    </w:p>
    <w:p w14:paraId="468A730F" w14:textId="3459CC90" w:rsidR="004761AF" w:rsidRPr="004761AF" w:rsidRDefault="002D3358" w:rsidP="004761AF">
      <w:pPr>
        <w:pStyle w:val="0Maintext"/>
        <w:spacing w:after="120" w:afterAutospacing="0"/>
        <w:rPr>
          <w:lang w:val="en-US"/>
        </w:rPr>
      </w:pPr>
      <w:r>
        <w:rPr>
          <w:lang w:val="en-US"/>
        </w:rPr>
        <w:t xml:space="preserve">The following agreement/conclusion was reached in RAN1 NR-AH 1901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p w14:paraId="486CF1BF" w14:textId="77777777" w:rsidR="004761AF" w:rsidRPr="004761AF" w:rsidRDefault="004761AF" w:rsidP="004761AF">
      <w:pPr>
        <w:spacing w:after="0"/>
        <w:rPr>
          <w:b/>
          <w:sz w:val="18"/>
          <w:highlight w:val="green"/>
          <w:lang w:eastAsia="x-none"/>
        </w:rPr>
      </w:pPr>
      <w:r w:rsidRPr="004761AF">
        <w:rPr>
          <w:b/>
          <w:sz w:val="18"/>
          <w:highlight w:val="green"/>
          <w:lang w:eastAsia="x-none"/>
        </w:rPr>
        <w:t>Agreement</w:t>
      </w:r>
    </w:p>
    <w:p w14:paraId="16830A6D" w14:textId="77777777" w:rsidR="004761AF" w:rsidRPr="004761AF" w:rsidRDefault="004761AF" w:rsidP="004761AF">
      <w:pPr>
        <w:pStyle w:val="LGTdoc"/>
        <w:spacing w:afterLines="0" w:line="240" w:lineRule="auto"/>
        <w:rPr>
          <w:sz w:val="18"/>
          <w:szCs w:val="20"/>
          <w:lang w:val="en-US"/>
        </w:rPr>
      </w:pPr>
      <w:r w:rsidRPr="004761AF">
        <w:rPr>
          <w:sz w:val="18"/>
          <w:szCs w:val="20"/>
          <w:lang w:val="en-US"/>
        </w:rPr>
        <w:t>An identifier (ID), agreed in RAN1#95, that can be used at least for indicating panel-specific UL transmission is to be down-selected or merged from the following alternatives in next RAN1 meeting:</w:t>
      </w:r>
    </w:p>
    <w:p w14:paraId="3C33A980" w14:textId="77777777" w:rsidR="004761AF" w:rsidRPr="004761AF" w:rsidRDefault="004761AF" w:rsidP="004761AF">
      <w:pPr>
        <w:pStyle w:val="ListParagraph"/>
        <w:numPr>
          <w:ilvl w:val="0"/>
          <w:numId w:val="37"/>
        </w:numPr>
        <w:spacing w:after="0"/>
        <w:ind w:leftChars="0"/>
        <w:jc w:val="both"/>
        <w:rPr>
          <w:rFonts w:eastAsia="SimSun"/>
          <w:sz w:val="18"/>
        </w:rPr>
      </w:pPr>
      <w:r w:rsidRPr="004761AF">
        <w:rPr>
          <w:rFonts w:eastAsia="SimSun"/>
          <w:sz w:val="18"/>
        </w:rPr>
        <w:t>Alt.1: an SRS resource set ID, where FFS on further association to other RS (if needed)</w:t>
      </w:r>
    </w:p>
    <w:p w14:paraId="24FA6C4B" w14:textId="77777777" w:rsidR="004761AF" w:rsidRPr="004761AF" w:rsidRDefault="004761AF" w:rsidP="004761AF">
      <w:pPr>
        <w:pStyle w:val="ListParagraph"/>
        <w:numPr>
          <w:ilvl w:val="0"/>
          <w:numId w:val="37"/>
        </w:numPr>
        <w:spacing w:after="0"/>
        <w:ind w:leftChars="0"/>
        <w:jc w:val="both"/>
        <w:rPr>
          <w:rFonts w:eastAsia="SimSun"/>
          <w:sz w:val="18"/>
        </w:rPr>
      </w:pPr>
      <w:r w:rsidRPr="004761AF">
        <w:rPr>
          <w:rFonts w:eastAsia="SimSun"/>
          <w:sz w:val="18"/>
        </w:rPr>
        <w:t xml:space="preserve">Alt.2: an ID, which is directly associated to a reference RS resource and/or resource set </w:t>
      </w:r>
    </w:p>
    <w:p w14:paraId="36193617" w14:textId="77777777" w:rsidR="004761AF" w:rsidRPr="004761AF" w:rsidRDefault="004761AF" w:rsidP="004761AF">
      <w:pPr>
        <w:pStyle w:val="ListParagraph"/>
        <w:numPr>
          <w:ilvl w:val="0"/>
          <w:numId w:val="37"/>
        </w:numPr>
        <w:spacing w:after="0"/>
        <w:ind w:leftChars="0"/>
        <w:jc w:val="both"/>
        <w:rPr>
          <w:rFonts w:eastAsia="SimSun"/>
          <w:sz w:val="18"/>
        </w:rPr>
      </w:pPr>
      <w:r w:rsidRPr="004761AF">
        <w:rPr>
          <w:rFonts w:eastAsia="SimSun"/>
          <w:sz w:val="18"/>
        </w:rPr>
        <w:t>Alt.3: an ID, which can be assigned for a target RS resource or resource set</w:t>
      </w:r>
    </w:p>
    <w:p w14:paraId="003CD6B8" w14:textId="77777777" w:rsidR="004761AF" w:rsidRPr="004761AF" w:rsidRDefault="004761AF" w:rsidP="004761AF">
      <w:pPr>
        <w:pStyle w:val="ListParagraph"/>
        <w:numPr>
          <w:ilvl w:val="0"/>
          <w:numId w:val="37"/>
        </w:numPr>
        <w:spacing w:after="0"/>
        <w:ind w:leftChars="0"/>
        <w:jc w:val="both"/>
        <w:rPr>
          <w:rFonts w:eastAsia="SimSun"/>
          <w:sz w:val="18"/>
        </w:rPr>
      </w:pPr>
      <w:r w:rsidRPr="004761AF">
        <w:rPr>
          <w:rFonts w:eastAsia="SimSun"/>
          <w:sz w:val="18"/>
        </w:rPr>
        <w:t>Alt.4: an ID which is additionally configured in spatial relation info</w:t>
      </w:r>
    </w:p>
    <w:p w14:paraId="50D5A699" w14:textId="77777777" w:rsidR="002D3358" w:rsidRDefault="002D3358" w:rsidP="00245831">
      <w:pPr>
        <w:spacing w:after="120" w:line="288" w:lineRule="auto"/>
        <w:ind w:firstLine="360"/>
        <w:jc w:val="both"/>
        <w:rPr>
          <w:sz w:val="20"/>
          <w:lang w:val="en-US"/>
        </w:rPr>
      </w:pPr>
    </w:p>
    <w:p w14:paraId="4EED4E84" w14:textId="3ED7AED4" w:rsidR="00834E69" w:rsidRDefault="002060AD" w:rsidP="00245831">
      <w:pPr>
        <w:spacing w:after="120" w:line="288" w:lineRule="auto"/>
        <w:ind w:firstLine="360"/>
        <w:jc w:val="both"/>
        <w:rPr>
          <w:sz w:val="20"/>
          <w:lang w:val="en-US"/>
        </w:rPr>
      </w:pPr>
      <w:r w:rsidRPr="00E5152C">
        <w:rPr>
          <w:sz w:val="20"/>
          <w:lang w:val="en-US"/>
        </w:rPr>
        <w:t>Rel.15</w:t>
      </w:r>
      <w:r w:rsidR="00834E69">
        <w:rPr>
          <w:sz w:val="20"/>
          <w:lang w:val="en-US"/>
        </w:rPr>
        <w:t xml:space="preserve"> only supports signaling one UL TX beam to the UE since only a s</w:t>
      </w:r>
      <w:r w:rsidR="00834E69" w:rsidRPr="00461304">
        <w:rPr>
          <w:sz w:val="20"/>
          <w:lang w:val="en-US"/>
        </w:rPr>
        <w:t xml:space="preserve">ingle SRI field </w:t>
      </w:r>
      <w:r w:rsidR="00834E69">
        <w:rPr>
          <w:sz w:val="20"/>
          <w:lang w:val="en-US"/>
        </w:rPr>
        <w:t xml:space="preserve">is included </w:t>
      </w:r>
      <w:r w:rsidR="00834E69" w:rsidRPr="00461304">
        <w:rPr>
          <w:sz w:val="20"/>
          <w:lang w:val="en-US"/>
        </w:rPr>
        <w:t>in DCI 0_1</w:t>
      </w:r>
      <w:r w:rsidR="00834E69">
        <w:rPr>
          <w:sz w:val="20"/>
          <w:lang w:val="en-US"/>
        </w:rPr>
        <w:t xml:space="preserve">. Likewise, </w:t>
      </w:r>
      <w:r w:rsidR="00834E69" w:rsidRPr="00461304">
        <w:rPr>
          <w:i/>
          <w:iCs/>
          <w:sz w:val="20"/>
          <w:lang w:val="en-US"/>
        </w:rPr>
        <w:t>SRS-Resource</w:t>
      </w:r>
      <w:r w:rsidR="00834E69" w:rsidRPr="00461304">
        <w:rPr>
          <w:sz w:val="20"/>
          <w:lang w:val="en-US"/>
        </w:rPr>
        <w:t xml:space="preserve"> (with</w:t>
      </w:r>
      <w:r w:rsidR="00834E69">
        <w:rPr>
          <w:sz w:val="20"/>
          <w:lang w:val="en-US"/>
        </w:rPr>
        <w:t xml:space="preserve"> </w:t>
      </w:r>
      <w:r w:rsidR="00834E69" w:rsidRPr="00834E69">
        <w:rPr>
          <w:sz w:val="20"/>
          <w:u w:val="single"/>
          <w:lang w:val="en-US"/>
        </w:rPr>
        <w:t>only one</w:t>
      </w:r>
      <w:r w:rsidR="00834E69" w:rsidRPr="00461304">
        <w:rPr>
          <w:sz w:val="20"/>
          <w:lang w:val="en-US"/>
        </w:rPr>
        <w:t xml:space="preserve"> target SRS resource ID) </w:t>
      </w:r>
      <w:r w:rsidR="00834E69">
        <w:rPr>
          <w:sz w:val="20"/>
          <w:lang w:val="en-US"/>
        </w:rPr>
        <w:t>is linked to a reference RS via</w:t>
      </w:r>
      <w:r w:rsidR="00834E69" w:rsidRPr="00461304">
        <w:rPr>
          <w:sz w:val="20"/>
          <w:lang w:val="en-US"/>
        </w:rPr>
        <w:t xml:space="preserve"> </w:t>
      </w:r>
      <w:r w:rsidR="00834E69" w:rsidRPr="00461304">
        <w:rPr>
          <w:i/>
          <w:iCs/>
          <w:sz w:val="20"/>
          <w:lang w:val="en-US"/>
        </w:rPr>
        <w:t>SpatialRelationInfo</w:t>
      </w:r>
      <w:r w:rsidR="00834E69" w:rsidRPr="00461304">
        <w:rPr>
          <w:sz w:val="20"/>
          <w:lang w:val="en-US"/>
        </w:rPr>
        <w:t xml:space="preserve"> (</w:t>
      </w:r>
      <w:r w:rsidR="00834E69">
        <w:rPr>
          <w:sz w:val="20"/>
          <w:lang w:val="en-US"/>
        </w:rPr>
        <w:t xml:space="preserve">which includes only </w:t>
      </w:r>
      <w:r w:rsidR="00834E69" w:rsidRPr="00461304">
        <w:rPr>
          <w:sz w:val="20"/>
          <w:lang w:val="en-US"/>
        </w:rPr>
        <w:t>one reference RS ID)</w:t>
      </w:r>
      <w:r w:rsidR="00834E69">
        <w:rPr>
          <w:sz w:val="20"/>
          <w:lang w:val="en-US"/>
        </w:rPr>
        <w:t xml:space="preserve">. </w:t>
      </w:r>
      <w:r w:rsidR="00245831">
        <w:rPr>
          <w:sz w:val="20"/>
          <w:lang w:val="en-US"/>
        </w:rPr>
        <w:t>However, f</w:t>
      </w:r>
      <w:r w:rsidR="00834E69">
        <w:rPr>
          <w:sz w:val="20"/>
          <w:lang w:val="en-US"/>
        </w:rPr>
        <w:t xml:space="preserve">or UEs with N panels, </w:t>
      </w:r>
      <w:r w:rsidR="00245831" w:rsidRPr="00461304">
        <w:rPr>
          <w:sz w:val="20"/>
          <w:lang w:val="en-US"/>
        </w:rPr>
        <w:t xml:space="preserve">N different UL TX beams </w:t>
      </w:r>
      <w:r w:rsidR="00170073">
        <w:rPr>
          <w:sz w:val="20"/>
          <w:lang w:val="en-US"/>
        </w:rPr>
        <w:t>could</w:t>
      </w:r>
      <w:r w:rsidR="00245831" w:rsidRPr="00461304">
        <w:rPr>
          <w:sz w:val="20"/>
          <w:lang w:val="en-US"/>
        </w:rPr>
        <w:t xml:space="preserve"> be “simultaneously” transmitted</w:t>
      </w:r>
      <w:r w:rsidR="00245831">
        <w:rPr>
          <w:sz w:val="20"/>
          <w:lang w:val="en-US"/>
        </w:rPr>
        <w:t xml:space="preserve">. </w:t>
      </w:r>
    </w:p>
    <w:p w14:paraId="5E7BD89D" w14:textId="1FAA6FA4" w:rsidR="00B604C3" w:rsidRDefault="00834051" w:rsidP="00991268">
      <w:pPr>
        <w:spacing w:after="120" w:line="288" w:lineRule="auto"/>
        <w:ind w:firstLine="360"/>
        <w:jc w:val="both"/>
        <w:rPr>
          <w:sz w:val="20"/>
          <w:lang w:val="en-US"/>
        </w:rPr>
      </w:pPr>
      <w:r>
        <w:rPr>
          <w:sz w:val="20"/>
          <w:lang w:val="en-US"/>
        </w:rPr>
        <w:t>At least for UL codebook-based transmission, t</w:t>
      </w:r>
      <w:r w:rsidR="00991268">
        <w:rPr>
          <w:sz w:val="20"/>
          <w:lang w:val="en-US"/>
        </w:rPr>
        <w:t xml:space="preserve">he use of target SRS (linked to a reference RS) for UL beam indication </w:t>
      </w:r>
      <w:r w:rsidR="00B1388E">
        <w:rPr>
          <w:sz w:val="20"/>
          <w:lang w:val="en-US"/>
        </w:rPr>
        <w:t>is un</w:t>
      </w:r>
      <w:r w:rsidR="00991268">
        <w:rPr>
          <w:sz w:val="20"/>
          <w:lang w:val="en-US"/>
        </w:rPr>
        <w:t xml:space="preserve">necessary. While target SRS can correspond to the (SRS) antenna ports associated with PDSCH transmission, the necessity of multiple target SRS resources (hence the linkage between multiple target SRS resources and reference RS resources in </w:t>
      </w:r>
      <w:r w:rsidR="00991268" w:rsidRPr="00461304">
        <w:rPr>
          <w:i/>
          <w:iCs/>
          <w:sz w:val="20"/>
          <w:lang w:val="en-US"/>
        </w:rPr>
        <w:t>SpatialRelationInfo</w:t>
      </w:r>
      <w:r w:rsidR="00991268">
        <w:rPr>
          <w:sz w:val="20"/>
          <w:lang w:val="en-US"/>
        </w:rPr>
        <w:t xml:space="preserve">) is unclear. </w:t>
      </w:r>
      <w:r w:rsidR="00B604C3">
        <w:rPr>
          <w:sz w:val="20"/>
          <w:lang w:val="en-US"/>
        </w:rPr>
        <w:t xml:space="preserve">Even if a UE can be configured with up to 2 SRS resources (for the purpose of UL CSI acquisition at the gNB), only one SRS resource is needed for UL data transmission. </w:t>
      </w:r>
    </w:p>
    <w:p w14:paraId="2840045B" w14:textId="280D31E3" w:rsidR="00991268" w:rsidRPr="00B97B2A" w:rsidRDefault="00B604C3" w:rsidP="00991268">
      <w:pPr>
        <w:spacing w:after="120" w:line="288" w:lineRule="auto"/>
        <w:ind w:firstLine="360"/>
        <w:jc w:val="both"/>
        <w:rPr>
          <w:sz w:val="20"/>
          <w:lang w:val="en-US"/>
        </w:rPr>
      </w:pPr>
      <w:r>
        <w:rPr>
          <w:sz w:val="20"/>
          <w:lang w:val="en-US"/>
        </w:rPr>
        <w:t>Therefore, f</w:t>
      </w:r>
      <w:r w:rsidR="00991268">
        <w:rPr>
          <w:sz w:val="20"/>
          <w:lang w:val="en-US"/>
        </w:rPr>
        <w:t xml:space="preserve">or beam training </w:t>
      </w:r>
      <w:r w:rsidR="005E334A">
        <w:rPr>
          <w:sz w:val="20"/>
          <w:lang w:val="en-US"/>
        </w:rPr>
        <w:t xml:space="preserve">and indication </w:t>
      </w:r>
      <w:r w:rsidR="00991268">
        <w:rPr>
          <w:sz w:val="20"/>
          <w:lang w:val="en-US"/>
        </w:rPr>
        <w:t>purposes, it suffices for the UE to be configured with multiple reference RS resources. Therefore, for UL beam indication, the same TCI-based approach can be used where the linkage between target SRS resources and reference RS resources is unnecessary. Instead, the UL TCI state definition includes a list of reference RS resources (SRS, CSI-RS, and/or SSB). The current SRI field can be reused to select a</w:t>
      </w:r>
      <w:r w:rsidR="00B1388E">
        <w:rPr>
          <w:sz w:val="20"/>
          <w:lang w:val="en-US"/>
        </w:rPr>
        <w:t>n UL</w:t>
      </w:r>
      <w:r w:rsidR="00991268">
        <w:rPr>
          <w:sz w:val="20"/>
          <w:lang w:val="en-US"/>
        </w:rPr>
        <w:t xml:space="preserve"> TCI state from the configured set, or a new DCI field</w:t>
      </w:r>
      <w:r w:rsidR="005E334A">
        <w:rPr>
          <w:sz w:val="20"/>
          <w:lang w:val="en-US"/>
        </w:rPr>
        <w:t xml:space="preserve"> (for illustrative purposes, termed the UL-TCI field)</w:t>
      </w:r>
      <w:r w:rsidR="00991268">
        <w:rPr>
          <w:sz w:val="20"/>
          <w:lang w:val="en-US"/>
        </w:rPr>
        <w:t xml:space="preserve"> in DCI 0_1 can be defined for this purpose.  </w:t>
      </w:r>
    </w:p>
    <w:p w14:paraId="4EE2271E" w14:textId="6B5E7FE3" w:rsidR="00ED2006" w:rsidRDefault="00991268" w:rsidP="00DA77DA">
      <w:pPr>
        <w:spacing w:after="120" w:line="288" w:lineRule="auto"/>
        <w:ind w:firstLine="360"/>
        <w:jc w:val="both"/>
        <w:rPr>
          <w:sz w:val="20"/>
          <w:lang w:val="en-US"/>
        </w:rPr>
      </w:pPr>
      <w:r>
        <w:rPr>
          <w:sz w:val="20"/>
          <w:lang w:val="en-US"/>
        </w:rPr>
        <w:t xml:space="preserve">With this in mind, </w:t>
      </w:r>
      <w:r w:rsidR="00245831">
        <w:rPr>
          <w:sz w:val="20"/>
          <w:lang w:val="en-US"/>
        </w:rPr>
        <w:t xml:space="preserve">a mechanism to support signaling </w:t>
      </w:r>
      <w:r w:rsidR="00170073">
        <w:rPr>
          <w:sz w:val="20"/>
          <w:lang w:val="en-US"/>
        </w:rPr>
        <w:t xml:space="preserve">at least one out of </w:t>
      </w:r>
      <w:r w:rsidR="00245831">
        <w:rPr>
          <w:sz w:val="20"/>
          <w:lang w:val="en-US"/>
        </w:rPr>
        <w:t xml:space="preserve">multiple UL TX beams to the UE </w:t>
      </w:r>
      <w:r>
        <w:rPr>
          <w:sz w:val="20"/>
          <w:lang w:val="en-US"/>
        </w:rPr>
        <w:t>can be introduced</w:t>
      </w:r>
      <w:r w:rsidR="00245831">
        <w:rPr>
          <w:sz w:val="20"/>
          <w:lang w:val="en-US"/>
        </w:rPr>
        <w:t xml:space="preserve">. By facilitating such functionality, the UE can transmit via multiple panels for increasing diversity </w:t>
      </w:r>
      <w:r w:rsidR="00ED2006">
        <w:rPr>
          <w:sz w:val="20"/>
          <w:lang w:val="en-US"/>
        </w:rPr>
        <w:t xml:space="preserve">and/or multiplexing, including UL transmission with panel selection. </w:t>
      </w:r>
    </w:p>
    <w:p w14:paraId="36DBD06E" w14:textId="77777777" w:rsidR="00170073" w:rsidRDefault="00170073" w:rsidP="00B97B2A">
      <w:pPr>
        <w:spacing w:after="120" w:line="288" w:lineRule="auto"/>
        <w:jc w:val="both"/>
        <w:rPr>
          <w:b/>
          <w:sz w:val="20"/>
          <w:u w:val="single"/>
          <w:lang w:val="en-US"/>
        </w:rPr>
      </w:pPr>
    </w:p>
    <w:p w14:paraId="2DCCAA52" w14:textId="209CB516" w:rsidR="00B1388E" w:rsidRPr="00B1388E" w:rsidRDefault="00B1388E" w:rsidP="00B97B2A">
      <w:pPr>
        <w:spacing w:after="120" w:line="288" w:lineRule="auto"/>
        <w:jc w:val="both"/>
        <w:rPr>
          <w:sz w:val="20"/>
          <w:lang w:val="en-US"/>
        </w:rPr>
      </w:pPr>
      <w:r>
        <w:rPr>
          <w:b/>
          <w:sz w:val="20"/>
          <w:u w:val="single"/>
          <w:lang w:val="en-US"/>
        </w:rPr>
        <w:t>Observation:</w:t>
      </w:r>
      <w:r>
        <w:rPr>
          <w:sz w:val="20"/>
          <w:lang w:val="en-US"/>
        </w:rPr>
        <w:t xml:space="preserve"> </w:t>
      </w:r>
      <w:r>
        <w:rPr>
          <w:i/>
          <w:sz w:val="20"/>
          <w:lang w:val="en-US"/>
        </w:rPr>
        <w:t xml:space="preserve">At </w:t>
      </w:r>
      <w:r w:rsidRPr="00B1388E">
        <w:rPr>
          <w:i/>
          <w:sz w:val="20"/>
          <w:lang w:val="en-US"/>
        </w:rPr>
        <w:t>least for UL codebook-based transmission, the use of target SRS (linked to a reference RS) for UL beam indication is unnecessary.</w:t>
      </w:r>
    </w:p>
    <w:p w14:paraId="7A2FEE8E" w14:textId="0CF36F27" w:rsidR="00B471C4" w:rsidRPr="00B471C4" w:rsidRDefault="00B97B2A" w:rsidP="00B471C4">
      <w:pPr>
        <w:spacing w:after="120" w:line="288" w:lineRule="auto"/>
        <w:jc w:val="both"/>
        <w:rPr>
          <w:i/>
          <w:sz w:val="20"/>
          <w:lang w:val="en-US"/>
        </w:rPr>
      </w:pPr>
      <w:r w:rsidRPr="00B97B2A">
        <w:rPr>
          <w:b/>
          <w:sz w:val="20"/>
          <w:u w:val="single"/>
          <w:lang w:val="en-US"/>
        </w:rPr>
        <w:t>Proposal</w:t>
      </w:r>
      <w:r>
        <w:rPr>
          <w:sz w:val="20"/>
          <w:lang w:val="en-US"/>
        </w:rPr>
        <w:t>:</w:t>
      </w:r>
      <w:r w:rsidR="005E334A">
        <w:rPr>
          <w:i/>
          <w:sz w:val="20"/>
          <w:lang w:val="en-US"/>
        </w:rPr>
        <w:t xml:space="preserve"> </w:t>
      </w:r>
      <w:r w:rsidR="00B604C3">
        <w:rPr>
          <w:i/>
          <w:sz w:val="20"/>
          <w:lang w:val="en-US"/>
        </w:rPr>
        <w:t>At least for UL codebook-based transmission, c</w:t>
      </w:r>
      <w:r w:rsidR="005E334A">
        <w:rPr>
          <w:i/>
          <w:sz w:val="20"/>
          <w:lang w:val="en-US"/>
        </w:rPr>
        <w:t xml:space="preserve">ircumvent the unnecessary use of target SRS by introducing UL TCI states (analogous to DL TCI) which are </w:t>
      </w:r>
      <w:r w:rsidR="00B471C4">
        <w:rPr>
          <w:i/>
          <w:sz w:val="20"/>
          <w:lang w:val="en-US"/>
        </w:rPr>
        <w:t xml:space="preserve">directly </w:t>
      </w:r>
      <w:r w:rsidR="005E334A">
        <w:rPr>
          <w:i/>
          <w:sz w:val="20"/>
          <w:lang w:val="en-US"/>
        </w:rPr>
        <w:t>associated with reference RS resource IDs</w:t>
      </w:r>
      <w:r w:rsidR="00B471C4">
        <w:rPr>
          <w:i/>
          <w:sz w:val="20"/>
          <w:lang w:val="en-US"/>
        </w:rPr>
        <w:t xml:space="preserve"> (i.e. Alt2)</w:t>
      </w:r>
    </w:p>
    <w:p w14:paraId="2B0A4AFE" w14:textId="71FBDD84" w:rsidR="005E334A" w:rsidRDefault="005E334A" w:rsidP="00170073">
      <w:pPr>
        <w:pStyle w:val="ListParagraph"/>
        <w:numPr>
          <w:ilvl w:val="0"/>
          <w:numId w:val="21"/>
        </w:numPr>
        <w:spacing w:after="120" w:line="288" w:lineRule="auto"/>
        <w:ind w:leftChars="0"/>
        <w:jc w:val="both"/>
        <w:rPr>
          <w:i/>
          <w:sz w:val="20"/>
          <w:lang w:val="en-US"/>
        </w:rPr>
      </w:pPr>
      <w:r>
        <w:rPr>
          <w:i/>
          <w:sz w:val="20"/>
          <w:lang w:val="en-US"/>
        </w:rPr>
        <w:t>The DCI field used for UL beam indication selects the UL TCI state, either a new DCI field or reusing the existing SRI field</w:t>
      </w:r>
    </w:p>
    <w:p w14:paraId="666E138D" w14:textId="0F7018CC" w:rsidR="00B471C4" w:rsidRDefault="00B471C4" w:rsidP="00170073">
      <w:pPr>
        <w:pStyle w:val="ListParagraph"/>
        <w:numPr>
          <w:ilvl w:val="0"/>
          <w:numId w:val="21"/>
        </w:numPr>
        <w:spacing w:after="120" w:line="288" w:lineRule="auto"/>
        <w:ind w:leftChars="0"/>
        <w:jc w:val="both"/>
        <w:rPr>
          <w:i/>
          <w:sz w:val="20"/>
          <w:lang w:val="en-US"/>
        </w:rPr>
      </w:pPr>
      <w:r>
        <w:rPr>
          <w:i/>
          <w:sz w:val="20"/>
          <w:lang w:val="en-US"/>
        </w:rPr>
        <w:t>Note: To use this feature for UL multi-panel beam indication, a panel</w:t>
      </w:r>
      <w:r w:rsidR="006A3A20">
        <w:rPr>
          <w:i/>
          <w:sz w:val="20"/>
          <w:lang w:val="en-US"/>
        </w:rPr>
        <w:t xml:space="preserve"> indication</w:t>
      </w:r>
      <w:r w:rsidR="00BD1DA8">
        <w:rPr>
          <w:i/>
          <w:sz w:val="20"/>
          <w:lang w:val="en-US"/>
        </w:rPr>
        <w:t xml:space="preserve"> can be</w:t>
      </w:r>
      <w:r>
        <w:rPr>
          <w:i/>
          <w:sz w:val="20"/>
          <w:lang w:val="en-US"/>
        </w:rPr>
        <w:t xml:space="preserve"> associated with an UL TCI state indication.</w:t>
      </w:r>
    </w:p>
    <w:p w14:paraId="5D835955" w14:textId="35C649F0" w:rsidR="00FB6F1A" w:rsidRPr="00E5152C" w:rsidRDefault="00FB6F1A" w:rsidP="00FB6F1A">
      <w:pPr>
        <w:rPr>
          <w:lang w:val="en-US" w:eastAsia="ko-KR"/>
        </w:rPr>
      </w:pPr>
    </w:p>
    <w:p w14:paraId="24D354D2" w14:textId="77777777" w:rsidR="000B7076" w:rsidRPr="00E5152C" w:rsidRDefault="000B7076" w:rsidP="00C83420">
      <w:pPr>
        <w:pStyle w:val="Heading1"/>
        <w:spacing w:before="0"/>
        <w:jc w:val="both"/>
        <w:rPr>
          <w:lang w:val="en-US"/>
        </w:rPr>
      </w:pPr>
      <w:r w:rsidRPr="00E5152C">
        <w:rPr>
          <w:lang w:val="en-US"/>
        </w:rPr>
        <w:t>Conclusions</w:t>
      </w:r>
    </w:p>
    <w:p w14:paraId="18021837" w14:textId="254CC733" w:rsidR="00106779" w:rsidRPr="00E5152C" w:rsidRDefault="00561208" w:rsidP="00710726">
      <w:pPr>
        <w:pStyle w:val="0Maintext"/>
        <w:spacing w:after="120" w:afterAutospacing="0"/>
        <w:rPr>
          <w:lang w:val="en-US" w:eastAsia="ko-KR"/>
        </w:rPr>
      </w:pPr>
      <w:r w:rsidRPr="00E5152C">
        <w:rPr>
          <w:lang w:val="en-US" w:eastAsia="ko-KR"/>
        </w:rPr>
        <w:t xml:space="preserve">In this contribution, </w:t>
      </w:r>
      <w:r w:rsidR="00E702F6" w:rsidRPr="00E5152C">
        <w:rPr>
          <w:lang w:val="en-US"/>
        </w:rPr>
        <w:t>Samsung’s views on enhancements to multi-beam operation and evaluation methodology are presented</w:t>
      </w:r>
      <w:r w:rsidRPr="00E5152C">
        <w:rPr>
          <w:lang w:val="en-US" w:eastAsia="ko-KR"/>
        </w:rPr>
        <w:t xml:space="preserve">. </w:t>
      </w:r>
      <w:r w:rsidR="00E702F6" w:rsidRPr="00E5152C">
        <w:rPr>
          <w:lang w:val="en-US" w:eastAsia="ko-KR"/>
        </w:rPr>
        <w:t>The</w:t>
      </w:r>
      <w:r w:rsidRPr="00E5152C">
        <w:rPr>
          <w:lang w:val="en-US" w:eastAsia="ko-KR"/>
        </w:rPr>
        <w:t xml:space="preserve"> following</w:t>
      </w:r>
      <w:r w:rsidR="00C83420" w:rsidRPr="00E5152C">
        <w:rPr>
          <w:lang w:val="en-US" w:eastAsia="ko-KR"/>
        </w:rPr>
        <w:t xml:space="preserve"> observations and</w:t>
      </w:r>
      <w:r w:rsidRPr="00E5152C">
        <w:rPr>
          <w:lang w:val="en-US" w:eastAsia="ko-KR"/>
        </w:rPr>
        <w:t xml:space="preserve"> </w:t>
      </w:r>
      <w:r w:rsidR="00106779" w:rsidRPr="00E5152C">
        <w:rPr>
          <w:lang w:val="en-US" w:eastAsia="ko-KR"/>
        </w:rPr>
        <w:t>proposal</w:t>
      </w:r>
      <w:r w:rsidRPr="00E5152C">
        <w:rPr>
          <w:lang w:val="en-US" w:eastAsia="ko-KR"/>
        </w:rPr>
        <w:t>s</w:t>
      </w:r>
      <w:r w:rsidR="00106779" w:rsidRPr="00E5152C">
        <w:rPr>
          <w:lang w:val="en-US" w:eastAsia="ko-KR"/>
        </w:rPr>
        <w:t xml:space="preserve"> </w:t>
      </w:r>
      <w:r w:rsidRPr="00E5152C">
        <w:rPr>
          <w:lang w:val="en-US" w:eastAsia="ko-KR"/>
        </w:rPr>
        <w:t xml:space="preserve">are </w:t>
      </w:r>
      <w:r w:rsidR="00E702F6" w:rsidRPr="00E5152C">
        <w:rPr>
          <w:lang w:val="en-US" w:eastAsia="ko-KR"/>
        </w:rPr>
        <w:t>made</w:t>
      </w:r>
      <w:r w:rsidR="00106779" w:rsidRPr="00E5152C">
        <w:rPr>
          <w:lang w:val="en-US" w:eastAsia="ko-KR"/>
        </w:rPr>
        <w:t>:</w:t>
      </w:r>
    </w:p>
    <w:p w14:paraId="3B75C02B" w14:textId="6A5BAA3B" w:rsidR="00C83420" w:rsidRPr="00E5152C" w:rsidRDefault="00C83420" w:rsidP="00710726">
      <w:pPr>
        <w:pStyle w:val="0Maintext"/>
        <w:spacing w:after="120" w:afterAutospacing="0"/>
        <w:rPr>
          <w:lang w:val="en-US" w:eastAsia="ko-KR"/>
        </w:rPr>
      </w:pPr>
      <w:r w:rsidRPr="00E5152C">
        <w:rPr>
          <w:b/>
          <w:u w:val="single"/>
          <w:lang w:val="en-US" w:eastAsia="ko-KR"/>
        </w:rPr>
        <w:t>Observation</w:t>
      </w:r>
      <w:r w:rsidRPr="00E5152C">
        <w:rPr>
          <w:lang w:val="en-US" w:eastAsia="ko-KR"/>
        </w:rPr>
        <w:t>:</w:t>
      </w:r>
    </w:p>
    <w:p w14:paraId="599E9823" w14:textId="1A70AB4B" w:rsidR="00FB6F1A" w:rsidRPr="00E5152C" w:rsidRDefault="00FB6F1A" w:rsidP="00710726">
      <w:pPr>
        <w:pStyle w:val="0Maintext"/>
        <w:numPr>
          <w:ilvl w:val="0"/>
          <w:numId w:val="20"/>
        </w:numPr>
        <w:spacing w:after="120" w:afterAutospacing="0"/>
        <w:rPr>
          <w:lang w:val="en-US" w:eastAsia="ko-KR"/>
        </w:rPr>
      </w:pPr>
      <w:r w:rsidRPr="00E5152C">
        <w:rPr>
          <w:lang w:val="en-US" w:eastAsia="ko-KR"/>
        </w:rPr>
        <w:t>SCell BFR:</w:t>
      </w:r>
    </w:p>
    <w:p w14:paraId="738DC925" w14:textId="77777777" w:rsidR="00C87FE6" w:rsidRPr="00C87FE6" w:rsidRDefault="00C87FE6" w:rsidP="00C87FE6">
      <w:pPr>
        <w:pStyle w:val="0Maintext"/>
        <w:numPr>
          <w:ilvl w:val="1"/>
          <w:numId w:val="20"/>
        </w:numPr>
        <w:spacing w:after="120" w:afterAutospacing="0"/>
        <w:rPr>
          <w:lang w:val="en-US" w:eastAsia="ko-KR"/>
        </w:rPr>
      </w:pPr>
      <w:r w:rsidRPr="00C87FE6">
        <w:rPr>
          <w:i/>
          <w:lang w:val="en-US"/>
        </w:rPr>
        <w:lastRenderedPageBreak/>
        <w:t xml:space="preserve">Either Alt.4 (MAC-CE) or Alt.5 (PUCCH) </w:t>
      </w:r>
      <w:r>
        <w:rPr>
          <w:i/>
          <w:lang w:val="en-US"/>
        </w:rPr>
        <w:t>facilitates supporting a single scheme that works for all deployment scenarios.</w:t>
      </w:r>
      <w:r w:rsidRPr="00C87FE6">
        <w:rPr>
          <w:i/>
          <w:lang w:val="en-US"/>
        </w:rPr>
        <w:t xml:space="preserve"> </w:t>
      </w:r>
    </w:p>
    <w:p w14:paraId="24881F2D" w14:textId="0D22695C" w:rsidR="00FB6F1A" w:rsidRPr="00E5152C" w:rsidRDefault="00811C29" w:rsidP="00710726">
      <w:pPr>
        <w:pStyle w:val="0Maintext"/>
        <w:numPr>
          <w:ilvl w:val="0"/>
          <w:numId w:val="20"/>
        </w:numPr>
        <w:spacing w:after="120" w:afterAutospacing="0"/>
        <w:rPr>
          <w:lang w:val="en-US" w:eastAsia="ko-KR"/>
        </w:rPr>
      </w:pPr>
      <w:r>
        <w:rPr>
          <w:lang w:val="en-US" w:eastAsia="ko-KR"/>
        </w:rPr>
        <w:t>L1-</w:t>
      </w:r>
      <w:r w:rsidR="00FB6F1A" w:rsidRPr="00E5152C">
        <w:rPr>
          <w:lang w:val="en-US" w:eastAsia="ko-KR"/>
        </w:rPr>
        <w:t>SINR:</w:t>
      </w:r>
    </w:p>
    <w:p w14:paraId="422ADF60" w14:textId="77777777" w:rsidR="00D04CD2" w:rsidRPr="00D04CD2" w:rsidRDefault="00D04CD2" w:rsidP="00D04CD2">
      <w:pPr>
        <w:pStyle w:val="0Maintext"/>
        <w:numPr>
          <w:ilvl w:val="1"/>
          <w:numId w:val="20"/>
        </w:numPr>
        <w:spacing w:after="120" w:afterAutospacing="0"/>
        <w:rPr>
          <w:i/>
          <w:lang w:val="en-US" w:eastAsia="ko-KR"/>
        </w:rPr>
      </w:pPr>
      <w:r w:rsidRPr="00D04CD2">
        <w:rPr>
          <w:i/>
        </w:rPr>
        <w:t>There is no observable difference in distributions of gNB and UE beam pair selection according to Rel.15 L1-RSRP and TS 38.215 CSI-SINR metrics.</w:t>
      </w:r>
    </w:p>
    <w:p w14:paraId="43DE354D" w14:textId="77777777" w:rsidR="0074128F" w:rsidRPr="0074128F" w:rsidRDefault="00D04CD2" w:rsidP="0074128F">
      <w:pPr>
        <w:pStyle w:val="0Maintext"/>
        <w:numPr>
          <w:ilvl w:val="1"/>
          <w:numId w:val="20"/>
        </w:numPr>
        <w:spacing w:after="120" w:afterAutospacing="0"/>
        <w:rPr>
          <w:i/>
          <w:lang w:val="en-US" w:eastAsia="ko-KR"/>
        </w:rPr>
      </w:pPr>
      <w:r w:rsidRPr="00D04CD2">
        <w:rPr>
          <w:i/>
        </w:rPr>
        <w:t>The TS 38.215 CSI-SINR metric results in slightly lower average and 50% UPT performance</w:t>
      </w:r>
      <w:r w:rsidRPr="00D04CD2" w:rsidDel="001C7365">
        <w:rPr>
          <w:i/>
        </w:rPr>
        <w:t xml:space="preserve"> </w:t>
      </w:r>
      <w:r w:rsidRPr="00D04CD2">
        <w:rPr>
          <w:i/>
        </w:rPr>
        <w:t xml:space="preserve">than Rel.15 L1-RSRP metric. Therefore, there is no perceivable benefit from 38.215 SINR in UPT. </w:t>
      </w:r>
    </w:p>
    <w:p w14:paraId="51E16282" w14:textId="4012D02D" w:rsidR="0074128F" w:rsidRPr="0074128F" w:rsidRDefault="0074128F" w:rsidP="0074128F">
      <w:pPr>
        <w:pStyle w:val="0Maintext"/>
        <w:numPr>
          <w:ilvl w:val="1"/>
          <w:numId w:val="20"/>
        </w:numPr>
        <w:spacing w:after="120" w:afterAutospacing="0"/>
        <w:rPr>
          <w:i/>
          <w:lang w:val="en-US" w:eastAsia="ko-KR"/>
        </w:rPr>
      </w:pPr>
      <w:r w:rsidRPr="0074128F">
        <w:rPr>
          <w:i/>
        </w:rPr>
        <w:t xml:space="preserve">The proposed </w:t>
      </w:r>
      <w:r>
        <w:rPr>
          <w:i/>
        </w:rPr>
        <w:t>RSRP-</w:t>
      </w:r>
      <w:r w:rsidRPr="0074128F">
        <w:rPr>
          <w:i/>
        </w:rPr>
        <w:t xml:space="preserve">weighted SINR metric shows large performance gain over both Rel. 15 L1-RSRP and TS 38.215 CSI-SINR metrics.  </w:t>
      </w:r>
    </w:p>
    <w:p w14:paraId="2F4B0D87" w14:textId="76EB2D2A" w:rsidR="00F43AE5" w:rsidRDefault="00F43AE5" w:rsidP="00F43AE5">
      <w:pPr>
        <w:pStyle w:val="0Maintext"/>
        <w:numPr>
          <w:ilvl w:val="0"/>
          <w:numId w:val="20"/>
        </w:numPr>
        <w:spacing w:after="120" w:afterAutospacing="0"/>
        <w:rPr>
          <w:lang w:val="en-US" w:eastAsia="ko-KR"/>
        </w:rPr>
      </w:pPr>
      <w:r w:rsidRPr="00E5152C">
        <w:rPr>
          <w:lang w:val="en-US" w:eastAsia="ko-KR"/>
        </w:rPr>
        <w:t>DL/UL beam indication with reduced latency/overhead:</w:t>
      </w:r>
    </w:p>
    <w:p w14:paraId="68B2D2BA" w14:textId="6F528D00" w:rsidR="00F43AE5" w:rsidRDefault="00F43AE5" w:rsidP="003D2FCF">
      <w:pPr>
        <w:pStyle w:val="0Maintext"/>
        <w:numPr>
          <w:ilvl w:val="1"/>
          <w:numId w:val="20"/>
        </w:numPr>
        <w:spacing w:after="120" w:afterAutospacing="0"/>
        <w:rPr>
          <w:i/>
          <w:lang w:val="en-US" w:eastAsia="ko-KR"/>
        </w:rPr>
      </w:pPr>
      <w:r>
        <w:rPr>
          <w:i/>
          <w:lang w:val="en-US" w:eastAsia="ko-KR"/>
        </w:rPr>
        <w:t>In Rel.15, not allowing DCI format 0_0 in SCell with no PUCCH resource configuration penalizes CA deployment, especially in terms of DL control coverage.</w:t>
      </w:r>
    </w:p>
    <w:p w14:paraId="4CF82CC4" w14:textId="67DA271A" w:rsidR="00D62594" w:rsidRDefault="00D62594" w:rsidP="00D62594">
      <w:pPr>
        <w:pStyle w:val="0Maintext"/>
        <w:numPr>
          <w:ilvl w:val="0"/>
          <w:numId w:val="20"/>
        </w:numPr>
        <w:spacing w:after="120" w:afterAutospacing="0"/>
        <w:rPr>
          <w:i/>
          <w:lang w:val="en-US" w:eastAsia="ko-KR"/>
        </w:rPr>
      </w:pPr>
      <w:r w:rsidRPr="00E5152C">
        <w:rPr>
          <w:lang w:val="en-US" w:eastAsia="ko-KR"/>
        </w:rPr>
        <w:t>UL beam indication for multi-panel UE:</w:t>
      </w:r>
    </w:p>
    <w:p w14:paraId="3A53B8C9" w14:textId="38E4BE0D" w:rsidR="00D62594" w:rsidRPr="003D2FCF" w:rsidRDefault="00D62594" w:rsidP="003D2FCF">
      <w:pPr>
        <w:pStyle w:val="0Maintext"/>
        <w:numPr>
          <w:ilvl w:val="1"/>
          <w:numId w:val="20"/>
        </w:numPr>
        <w:spacing w:after="120" w:afterAutospacing="0"/>
        <w:rPr>
          <w:i/>
          <w:lang w:val="en-US" w:eastAsia="ko-KR"/>
        </w:rPr>
      </w:pPr>
      <w:r>
        <w:rPr>
          <w:i/>
          <w:lang w:val="en-US"/>
        </w:rPr>
        <w:t xml:space="preserve">At </w:t>
      </w:r>
      <w:r w:rsidRPr="00B1388E">
        <w:rPr>
          <w:i/>
          <w:lang w:val="en-US"/>
        </w:rPr>
        <w:t>least for UL codebook-based transmission, the use of target SRS (linked to a reference RS) for UL beam indication is unnecessary.</w:t>
      </w:r>
    </w:p>
    <w:p w14:paraId="5FA5AB9B" w14:textId="67D7B11A" w:rsidR="00C83420" w:rsidRPr="00E5152C" w:rsidRDefault="00C83420" w:rsidP="00710726">
      <w:pPr>
        <w:pStyle w:val="0Maintext"/>
        <w:spacing w:after="120" w:afterAutospacing="0"/>
        <w:rPr>
          <w:lang w:val="en-US" w:eastAsia="ko-KR"/>
        </w:rPr>
      </w:pPr>
      <w:r w:rsidRPr="00E5152C">
        <w:rPr>
          <w:b/>
          <w:u w:val="single"/>
          <w:lang w:val="en-US" w:eastAsia="ko-KR"/>
        </w:rPr>
        <w:t>Proposal</w:t>
      </w:r>
      <w:r w:rsidRPr="00E5152C">
        <w:rPr>
          <w:lang w:val="en-US" w:eastAsia="ko-KR"/>
        </w:rPr>
        <w:t>:</w:t>
      </w:r>
    </w:p>
    <w:p w14:paraId="5563172C" w14:textId="05B99AF6" w:rsidR="00E702F6" w:rsidRPr="00E5152C" w:rsidRDefault="00617F1D" w:rsidP="00710726">
      <w:pPr>
        <w:pStyle w:val="0Maintext"/>
        <w:numPr>
          <w:ilvl w:val="0"/>
          <w:numId w:val="19"/>
        </w:numPr>
        <w:spacing w:after="120" w:afterAutospacing="0"/>
        <w:rPr>
          <w:lang w:val="en-US" w:eastAsia="ko-KR"/>
        </w:rPr>
      </w:pPr>
      <w:r w:rsidRPr="00E5152C">
        <w:rPr>
          <w:lang w:val="en-US" w:eastAsia="ko-KR"/>
        </w:rPr>
        <w:t>SCell BFR:</w:t>
      </w:r>
    </w:p>
    <w:p w14:paraId="51DBD222" w14:textId="77777777" w:rsidR="00296CCF" w:rsidRPr="00296CCF" w:rsidRDefault="00296CCF" w:rsidP="00296CCF">
      <w:pPr>
        <w:pStyle w:val="0Maintext"/>
        <w:numPr>
          <w:ilvl w:val="1"/>
          <w:numId w:val="19"/>
        </w:numPr>
        <w:spacing w:after="120" w:afterAutospacing="0"/>
        <w:rPr>
          <w:lang w:val="en-US" w:eastAsia="ko-KR"/>
        </w:rPr>
      </w:pPr>
      <w:r w:rsidRPr="00296CCF">
        <w:rPr>
          <w:i/>
          <w:lang w:val="en-US"/>
        </w:rPr>
        <w:t>For SCell BFR, Rel.15 beam failure detection procedure is reused for SCell:</w:t>
      </w:r>
    </w:p>
    <w:p w14:paraId="50996D00" w14:textId="3A701796" w:rsidR="00296CCF" w:rsidRPr="00296CCF" w:rsidRDefault="00296CCF" w:rsidP="00296CCF">
      <w:pPr>
        <w:pStyle w:val="0Maintext"/>
        <w:numPr>
          <w:ilvl w:val="2"/>
          <w:numId w:val="19"/>
        </w:numPr>
        <w:spacing w:after="120" w:afterAutospacing="0"/>
        <w:rPr>
          <w:lang w:val="en-US" w:eastAsia="ko-KR"/>
        </w:rPr>
      </w:pPr>
      <w:r w:rsidRPr="00296CCF">
        <w:rPr>
          <w:i/>
          <w:lang w:val="en-US"/>
        </w:rPr>
        <w:t>Support Alt3, SCell BFD RS can be in current CC or another CC for both explicit and implicit configurations</w:t>
      </w:r>
    </w:p>
    <w:p w14:paraId="0D150894" w14:textId="77777777" w:rsidR="00296CCF" w:rsidRDefault="00296CCF" w:rsidP="00296CCF">
      <w:pPr>
        <w:pStyle w:val="0Maintext"/>
        <w:numPr>
          <w:ilvl w:val="1"/>
          <w:numId w:val="19"/>
        </w:numPr>
        <w:spacing w:after="120" w:afterAutospacing="0"/>
        <w:rPr>
          <w:lang w:val="en-US" w:eastAsia="ko-KR"/>
        </w:rPr>
      </w:pPr>
      <w:r w:rsidRPr="00296CCF">
        <w:rPr>
          <w:i/>
          <w:lang w:val="en-US"/>
        </w:rPr>
        <w:t>For SCell BFR, BFRQ is transmitted when the UE declares SCell beam failure</w:t>
      </w:r>
    </w:p>
    <w:p w14:paraId="5F8B048D" w14:textId="2B378C7B" w:rsidR="00296CCF" w:rsidRPr="00296CCF" w:rsidRDefault="00296CCF" w:rsidP="008A6ED3">
      <w:pPr>
        <w:pStyle w:val="0Maintext"/>
        <w:numPr>
          <w:ilvl w:val="2"/>
          <w:numId w:val="19"/>
        </w:numPr>
        <w:spacing w:after="120" w:afterAutospacing="0"/>
        <w:rPr>
          <w:lang w:val="en-US" w:eastAsia="ko-KR"/>
        </w:rPr>
      </w:pPr>
      <w:r w:rsidRPr="00296CCF">
        <w:rPr>
          <w:i/>
          <w:lang w:val="en-US"/>
        </w:rPr>
        <w:t xml:space="preserve">The BFRQ only indicates the event of SCell beam failure and the index(es) of failed CC(s); </w:t>
      </w:r>
    </w:p>
    <w:p w14:paraId="733A7F3E" w14:textId="77777777" w:rsidR="00296CCF" w:rsidRDefault="00296CCF" w:rsidP="008A6ED3">
      <w:pPr>
        <w:pStyle w:val="0Maintext"/>
        <w:numPr>
          <w:ilvl w:val="3"/>
          <w:numId w:val="19"/>
        </w:numPr>
        <w:spacing w:after="120" w:afterAutospacing="0"/>
        <w:rPr>
          <w:i/>
          <w:lang w:val="en-US"/>
        </w:rPr>
      </w:pPr>
      <w:r>
        <w:rPr>
          <w:i/>
          <w:lang w:val="en-US"/>
        </w:rPr>
        <w:t>No other information such as NBI is carried.</w:t>
      </w:r>
    </w:p>
    <w:p w14:paraId="57F100B4" w14:textId="162BB336" w:rsidR="00296CCF" w:rsidRPr="008A6ED3" w:rsidRDefault="00296CCF" w:rsidP="008A6ED3">
      <w:pPr>
        <w:pStyle w:val="0Maintext"/>
        <w:numPr>
          <w:ilvl w:val="2"/>
          <w:numId w:val="19"/>
        </w:numPr>
        <w:spacing w:after="120" w:afterAutospacing="0"/>
        <w:rPr>
          <w:i/>
          <w:lang w:val="en-US"/>
        </w:rPr>
      </w:pPr>
      <w:r>
        <w:rPr>
          <w:i/>
          <w:lang w:val="en-US"/>
        </w:rPr>
        <w:t>T</w:t>
      </w:r>
      <w:r w:rsidRPr="00624880">
        <w:rPr>
          <w:i/>
          <w:lang w:val="en-US"/>
        </w:rPr>
        <w:t>he index</w:t>
      </w:r>
      <w:r>
        <w:rPr>
          <w:i/>
          <w:lang w:val="en-US"/>
        </w:rPr>
        <w:t>(es)</w:t>
      </w:r>
      <w:r w:rsidRPr="00624880">
        <w:rPr>
          <w:i/>
          <w:lang w:val="en-US"/>
        </w:rPr>
        <w:t xml:space="preserve"> of failed CC</w:t>
      </w:r>
      <w:r>
        <w:rPr>
          <w:i/>
          <w:lang w:val="en-US"/>
        </w:rPr>
        <w:t>(s)</w:t>
      </w:r>
      <w:r w:rsidRPr="00624880">
        <w:rPr>
          <w:i/>
          <w:lang w:val="en-US"/>
        </w:rPr>
        <w:t xml:space="preserve"> is explicitly conveyed in BFRQ message. </w:t>
      </w:r>
    </w:p>
    <w:p w14:paraId="0BDA5842" w14:textId="1ACC5A33" w:rsidR="007432BF" w:rsidRPr="007432BF" w:rsidRDefault="00536865" w:rsidP="007432BF">
      <w:pPr>
        <w:pStyle w:val="0Maintext"/>
        <w:numPr>
          <w:ilvl w:val="1"/>
          <w:numId w:val="19"/>
        </w:numPr>
        <w:spacing w:after="120" w:afterAutospacing="0"/>
        <w:rPr>
          <w:i/>
          <w:lang w:val="en-US"/>
        </w:rPr>
      </w:pPr>
      <w:r>
        <w:rPr>
          <w:i/>
          <w:lang w:val="en-US"/>
        </w:rPr>
        <w:t>Support Alt.4 (MAC-CE based solution) for SCell BFR</w:t>
      </w:r>
      <w:r w:rsidR="007432BF">
        <w:rPr>
          <w:i/>
          <w:lang w:val="en-US"/>
        </w:rPr>
        <w:t xml:space="preserve"> </w:t>
      </w:r>
      <w:r w:rsidR="007432BF" w:rsidRPr="007432BF">
        <w:rPr>
          <w:i/>
          <w:lang w:val="en-US"/>
        </w:rPr>
        <w:t>considering its superior trade-off between reliability and latency.</w:t>
      </w:r>
    </w:p>
    <w:p w14:paraId="777D3776" w14:textId="58476C0C" w:rsidR="00F001B6" w:rsidRDefault="00811C29" w:rsidP="00F001B6">
      <w:pPr>
        <w:pStyle w:val="0Maintext"/>
        <w:numPr>
          <w:ilvl w:val="0"/>
          <w:numId w:val="19"/>
        </w:numPr>
        <w:spacing w:after="120" w:afterAutospacing="0"/>
        <w:rPr>
          <w:lang w:val="en-US" w:eastAsia="ko-KR"/>
        </w:rPr>
      </w:pPr>
      <w:r>
        <w:rPr>
          <w:lang w:val="en-US" w:eastAsia="ko-KR"/>
        </w:rPr>
        <w:t>L1-</w:t>
      </w:r>
      <w:r w:rsidR="00617F1D" w:rsidRPr="00E5152C">
        <w:rPr>
          <w:lang w:val="en-US" w:eastAsia="ko-KR"/>
        </w:rPr>
        <w:t>SINR:</w:t>
      </w:r>
    </w:p>
    <w:p w14:paraId="0E260C10" w14:textId="77777777" w:rsidR="00AB7539" w:rsidRPr="00AB7539" w:rsidRDefault="00AB7539" w:rsidP="00AB7539">
      <w:pPr>
        <w:pStyle w:val="0Maintext"/>
        <w:numPr>
          <w:ilvl w:val="1"/>
          <w:numId w:val="19"/>
        </w:numPr>
        <w:spacing w:after="120" w:afterAutospacing="0"/>
        <w:rPr>
          <w:lang w:val="en-US" w:eastAsia="ko-KR"/>
        </w:rPr>
      </w:pPr>
      <w:r>
        <w:rPr>
          <w:i/>
          <w:lang w:val="en-US" w:eastAsia="ko-KR"/>
        </w:rPr>
        <w:t>If “interference aware” SINR-based beam reporting metric is to be supported in Rel.16, SINR definitions other than that from TS 38.215, such as the RSRP-weighted L1-SINR, should be studied and evaluated</w:t>
      </w:r>
    </w:p>
    <w:p w14:paraId="642D111E" w14:textId="13C52B97" w:rsidR="002A174F" w:rsidRDefault="00617F1D" w:rsidP="002A174F">
      <w:pPr>
        <w:pStyle w:val="0Maintext"/>
        <w:numPr>
          <w:ilvl w:val="0"/>
          <w:numId w:val="19"/>
        </w:numPr>
        <w:spacing w:after="120" w:afterAutospacing="0"/>
        <w:rPr>
          <w:lang w:val="en-US" w:eastAsia="ko-KR"/>
        </w:rPr>
      </w:pPr>
      <w:r w:rsidRPr="00E5152C">
        <w:rPr>
          <w:lang w:val="en-US" w:eastAsia="ko-KR"/>
        </w:rPr>
        <w:t>DL/UL beam indication with reduced latency/overhead:</w:t>
      </w:r>
    </w:p>
    <w:p w14:paraId="3F125307" w14:textId="4068A8C8" w:rsidR="002A174F" w:rsidRPr="002A174F" w:rsidRDefault="002A174F" w:rsidP="002A174F">
      <w:pPr>
        <w:pStyle w:val="0Maintext"/>
        <w:numPr>
          <w:ilvl w:val="1"/>
          <w:numId w:val="19"/>
        </w:numPr>
        <w:spacing w:after="120" w:afterAutospacing="0"/>
        <w:rPr>
          <w:lang w:val="en-US" w:eastAsia="ko-KR"/>
        </w:rPr>
      </w:pPr>
      <w:r w:rsidRPr="002A174F">
        <w:rPr>
          <w:i/>
          <w:lang w:val="en-US"/>
        </w:rPr>
        <w:t xml:space="preserve">Revisit Rel.15 features and assess possible reduction </w:t>
      </w:r>
      <w:r w:rsidR="00A83449">
        <w:rPr>
          <w:i/>
          <w:lang w:val="en-US"/>
        </w:rPr>
        <w:t xml:space="preserve">in </w:t>
      </w:r>
      <w:r w:rsidRPr="002A174F">
        <w:rPr>
          <w:i/>
          <w:lang w:val="en-US"/>
        </w:rPr>
        <w:t xml:space="preserve">reconfiguration signaling requirement for DL/UL beam indication (for data and control channels)  </w:t>
      </w:r>
    </w:p>
    <w:p w14:paraId="220357E9" w14:textId="3D080C7C" w:rsidR="002A174F" w:rsidRPr="002A174F" w:rsidRDefault="002A174F" w:rsidP="002A174F">
      <w:pPr>
        <w:pStyle w:val="0Maintext"/>
        <w:numPr>
          <w:ilvl w:val="2"/>
          <w:numId w:val="19"/>
        </w:numPr>
        <w:spacing w:after="120" w:afterAutospacing="0"/>
        <w:rPr>
          <w:lang w:val="en-US" w:eastAsia="ko-KR"/>
        </w:rPr>
      </w:pPr>
      <w:r w:rsidRPr="002A174F">
        <w:rPr>
          <w:i/>
          <w:lang w:val="en-US"/>
        </w:rPr>
        <w:t>Streamline options/states (e.g. the number of CSI-RS resources, QCL associations) defined in RRC and/or use L1 control signaling instead</w:t>
      </w:r>
    </w:p>
    <w:p w14:paraId="092641A5" w14:textId="77777777" w:rsidR="00F43AE5" w:rsidRPr="00F43AE5" w:rsidRDefault="00CF251E" w:rsidP="00F43AE5">
      <w:pPr>
        <w:pStyle w:val="0Maintext"/>
        <w:numPr>
          <w:ilvl w:val="1"/>
          <w:numId w:val="19"/>
        </w:numPr>
        <w:spacing w:after="120" w:afterAutospacing="0"/>
        <w:rPr>
          <w:lang w:val="en-US" w:eastAsia="ko-KR"/>
        </w:rPr>
      </w:pPr>
      <w:r w:rsidRPr="00CF251E">
        <w:rPr>
          <w:i/>
          <w:lang w:val="en-US"/>
        </w:rPr>
        <w:t>Introduce the use of SRS</w:t>
      </w:r>
      <w:r w:rsidRPr="00842E82">
        <w:rPr>
          <w:i/>
          <w:lang w:val="en-US"/>
        </w:rPr>
        <w:t xml:space="preserve"> for aiding DL beam indication by including SRS resource ID in TCI state definition</w:t>
      </w:r>
    </w:p>
    <w:p w14:paraId="39D8E50D" w14:textId="6B51DC22" w:rsidR="00F43AE5" w:rsidRPr="00F43AE5" w:rsidRDefault="00F43AE5" w:rsidP="00F43AE5">
      <w:pPr>
        <w:pStyle w:val="0Maintext"/>
        <w:numPr>
          <w:ilvl w:val="1"/>
          <w:numId w:val="19"/>
        </w:numPr>
        <w:spacing w:after="120" w:afterAutospacing="0"/>
        <w:rPr>
          <w:lang w:val="en-US" w:eastAsia="ko-KR"/>
        </w:rPr>
      </w:pPr>
      <w:r w:rsidRPr="00F43AE5">
        <w:rPr>
          <w:i/>
          <w:lang w:val="en-US"/>
        </w:rPr>
        <w:t xml:space="preserve">Support DCI </w:t>
      </w:r>
      <w:r w:rsidR="002735B6">
        <w:rPr>
          <w:i/>
          <w:lang w:val="en-US"/>
        </w:rPr>
        <w:t>format 0_0 for any SCell in FR2 even when PUCCH resource configuration is absent</w:t>
      </w:r>
      <w:r w:rsidRPr="00F43AE5">
        <w:rPr>
          <w:i/>
          <w:lang w:val="en-US"/>
        </w:rPr>
        <w:t xml:space="preserve"> </w:t>
      </w:r>
    </w:p>
    <w:p w14:paraId="3D913349" w14:textId="77777777" w:rsidR="00D62594" w:rsidRDefault="00617F1D" w:rsidP="00D62594">
      <w:pPr>
        <w:pStyle w:val="0Maintext"/>
        <w:numPr>
          <w:ilvl w:val="0"/>
          <w:numId w:val="19"/>
        </w:numPr>
        <w:spacing w:after="120" w:afterAutospacing="0"/>
        <w:rPr>
          <w:i/>
          <w:lang w:val="en-US"/>
        </w:rPr>
      </w:pPr>
      <w:r w:rsidRPr="00E5152C">
        <w:rPr>
          <w:lang w:val="en-US" w:eastAsia="ko-KR"/>
        </w:rPr>
        <w:t>UL beam indication for multi-panel UE:</w:t>
      </w:r>
      <w:r w:rsidR="00D62594">
        <w:rPr>
          <w:lang w:val="en-US" w:eastAsia="ko-KR"/>
        </w:rPr>
        <w:t xml:space="preserve"> </w:t>
      </w:r>
      <w:r w:rsidR="00D62594" w:rsidRPr="00D62594">
        <w:rPr>
          <w:i/>
          <w:lang w:val="en-US"/>
        </w:rPr>
        <w:t xml:space="preserve">At least for UL codebook-based transmission, </w:t>
      </w:r>
    </w:p>
    <w:p w14:paraId="724D4E85" w14:textId="6826B3B7" w:rsidR="00D62594" w:rsidRPr="00D62594" w:rsidRDefault="00D62594" w:rsidP="00D62594">
      <w:pPr>
        <w:pStyle w:val="0Maintext"/>
        <w:numPr>
          <w:ilvl w:val="1"/>
          <w:numId w:val="19"/>
        </w:numPr>
        <w:spacing w:after="120" w:afterAutospacing="0"/>
        <w:rPr>
          <w:i/>
          <w:lang w:val="en-US"/>
        </w:rPr>
      </w:pPr>
      <w:r>
        <w:rPr>
          <w:i/>
          <w:lang w:val="en-US"/>
        </w:rPr>
        <w:lastRenderedPageBreak/>
        <w:t>C</w:t>
      </w:r>
      <w:r w:rsidRPr="00D62594">
        <w:rPr>
          <w:i/>
          <w:lang w:val="en-US"/>
        </w:rPr>
        <w:t>ircumvent the unnecessary use of target SRS by introducing UL TCI states (analogous to DL TCI) which are directly associated with reference RS resource IDs (i.e. Alt2)</w:t>
      </w:r>
    </w:p>
    <w:p w14:paraId="1ACA3636" w14:textId="77777777" w:rsidR="00D62594" w:rsidRDefault="00D62594" w:rsidP="00D62594">
      <w:pPr>
        <w:pStyle w:val="ListParagraph"/>
        <w:numPr>
          <w:ilvl w:val="2"/>
          <w:numId w:val="19"/>
        </w:numPr>
        <w:spacing w:after="120" w:line="288" w:lineRule="auto"/>
        <w:ind w:leftChars="0"/>
        <w:jc w:val="both"/>
        <w:rPr>
          <w:i/>
          <w:sz w:val="20"/>
          <w:lang w:val="en-US"/>
        </w:rPr>
      </w:pPr>
      <w:r>
        <w:rPr>
          <w:i/>
          <w:sz w:val="20"/>
          <w:lang w:val="en-US"/>
        </w:rPr>
        <w:t>The DCI field used for UL beam indication selects the UL TCI state, either a new DCI field or reusing the existing SRI field</w:t>
      </w:r>
    </w:p>
    <w:p w14:paraId="5A8E6CB0" w14:textId="77777777" w:rsidR="00D62594" w:rsidRDefault="00D62594" w:rsidP="00D62594">
      <w:pPr>
        <w:pStyle w:val="ListParagraph"/>
        <w:numPr>
          <w:ilvl w:val="2"/>
          <w:numId w:val="19"/>
        </w:numPr>
        <w:spacing w:after="120" w:line="288" w:lineRule="auto"/>
        <w:ind w:leftChars="0"/>
        <w:jc w:val="both"/>
        <w:rPr>
          <w:i/>
          <w:sz w:val="20"/>
          <w:lang w:val="en-US"/>
        </w:rPr>
      </w:pPr>
      <w:r>
        <w:rPr>
          <w:i/>
          <w:sz w:val="20"/>
          <w:lang w:val="en-US"/>
        </w:rPr>
        <w:t>Note: To use this feature for UL multi-panel beam indication, a panel indication can be associated with an UL TCI state indication.</w:t>
      </w:r>
    </w:p>
    <w:p w14:paraId="2CCA91EF" w14:textId="77777777" w:rsidR="00D62594" w:rsidRPr="00E5152C" w:rsidRDefault="00D62594" w:rsidP="00D62594">
      <w:pPr>
        <w:pStyle w:val="0Maintext"/>
        <w:spacing w:after="120" w:afterAutospacing="0"/>
        <w:ind w:firstLine="0"/>
        <w:rPr>
          <w:i/>
          <w:lang w:val="en-US"/>
        </w:rPr>
      </w:pPr>
    </w:p>
    <w:p w14:paraId="2AADDA78" w14:textId="77777777" w:rsidR="000F762B" w:rsidRPr="00E5152C" w:rsidRDefault="000F762B" w:rsidP="00FB6F1A">
      <w:pPr>
        <w:pStyle w:val="Heading1"/>
        <w:spacing w:before="0"/>
        <w:jc w:val="both"/>
        <w:rPr>
          <w:lang w:val="en-US"/>
        </w:rPr>
      </w:pPr>
      <w:r w:rsidRPr="00E5152C">
        <w:rPr>
          <w:lang w:val="en-US"/>
        </w:rPr>
        <w:t>References</w:t>
      </w:r>
    </w:p>
    <w:p w14:paraId="031ED45C" w14:textId="19A891A7" w:rsidR="009315B1" w:rsidRDefault="00E10B6A" w:rsidP="00FB6F1A">
      <w:pPr>
        <w:pStyle w:val="2222"/>
        <w:numPr>
          <w:ilvl w:val="0"/>
          <w:numId w:val="5"/>
        </w:numPr>
        <w:spacing w:after="120" w:line="288" w:lineRule="auto"/>
        <w:ind w:left="357" w:firstLineChars="0" w:hanging="357"/>
        <w:rPr>
          <w:sz w:val="20"/>
          <w:lang w:val="en-US" w:eastAsia="ko-KR"/>
        </w:rPr>
      </w:pPr>
      <w:bookmarkStart w:id="5" w:name="_Ref528938279"/>
      <w:r>
        <w:rPr>
          <w:sz w:val="20"/>
          <w:lang w:val="en-US" w:eastAsia="ko-KR"/>
        </w:rPr>
        <w:t xml:space="preserve">3GPP RAN1, </w:t>
      </w:r>
      <w:r w:rsidR="00CE0EDA">
        <w:rPr>
          <w:sz w:val="20"/>
          <w:lang w:val="en-US" w:eastAsia="ko-KR"/>
        </w:rPr>
        <w:t>RAN1 NR-AH 1901</w:t>
      </w:r>
      <w:r w:rsidR="009421EA">
        <w:rPr>
          <w:sz w:val="20"/>
          <w:lang w:val="en-US" w:eastAsia="ko-KR"/>
        </w:rPr>
        <w:t xml:space="preserve"> </w:t>
      </w:r>
      <w:r>
        <w:rPr>
          <w:sz w:val="20"/>
          <w:lang w:val="en-US" w:eastAsia="ko-KR"/>
        </w:rPr>
        <w:t>Chairman’s Notes</w:t>
      </w:r>
      <w:bookmarkEnd w:id="5"/>
    </w:p>
    <w:p w14:paraId="433F2415" w14:textId="1E711729" w:rsidR="00987F70" w:rsidRDefault="00987F70" w:rsidP="00FB6F1A">
      <w:pPr>
        <w:pStyle w:val="2222"/>
        <w:numPr>
          <w:ilvl w:val="0"/>
          <w:numId w:val="5"/>
        </w:numPr>
        <w:spacing w:after="120" w:line="288" w:lineRule="auto"/>
        <w:ind w:left="357" w:firstLineChars="0" w:hanging="357"/>
        <w:rPr>
          <w:sz w:val="20"/>
          <w:lang w:val="en-US" w:eastAsia="ko-KR"/>
        </w:rPr>
      </w:pPr>
      <w:bookmarkStart w:id="6" w:name="_Ref534676903"/>
      <w:r>
        <w:rPr>
          <w:sz w:val="20"/>
          <w:lang w:val="en-US" w:eastAsia="ko-KR"/>
        </w:rPr>
        <w:t>3GPP RAN, RP-182863, Samsung, Revised WID: Enhancements on MIMO for NR</w:t>
      </w:r>
      <w:bookmarkEnd w:id="6"/>
    </w:p>
    <w:p w14:paraId="31B16C63" w14:textId="38FB2D72" w:rsidR="009421EA" w:rsidRPr="00915C7E" w:rsidRDefault="009421EA" w:rsidP="00FB6F1A">
      <w:pPr>
        <w:pStyle w:val="2222"/>
        <w:numPr>
          <w:ilvl w:val="0"/>
          <w:numId w:val="5"/>
        </w:numPr>
        <w:spacing w:after="120" w:line="288" w:lineRule="auto"/>
        <w:ind w:left="357" w:firstLineChars="0" w:hanging="357"/>
        <w:rPr>
          <w:sz w:val="20"/>
          <w:lang w:val="en-US" w:eastAsia="ko-KR"/>
        </w:rPr>
      </w:pPr>
      <w:bookmarkStart w:id="7" w:name="_Ref528938664"/>
      <w:r>
        <w:rPr>
          <w:sz w:val="20"/>
          <w:lang w:val="en-US" w:eastAsia="ko-KR"/>
        </w:rPr>
        <w:t>3GPP, TS 38.215</w:t>
      </w:r>
      <w:r w:rsidRPr="00E87AA9">
        <w:rPr>
          <w:sz w:val="20"/>
          <w:lang w:val="en-US" w:eastAsia="ko-KR"/>
        </w:rPr>
        <w:t xml:space="preserve">, </w:t>
      </w:r>
      <w:r w:rsidR="00E87AA9" w:rsidRPr="00915C7E">
        <w:rPr>
          <w:iCs/>
          <w:sz w:val="20"/>
          <w:lang w:eastAsia="ko-KR"/>
        </w:rPr>
        <w:t>NR, Physical Laye</w:t>
      </w:r>
      <w:bookmarkStart w:id="8" w:name="_GoBack"/>
      <w:bookmarkEnd w:id="8"/>
      <w:r w:rsidR="00E87AA9" w:rsidRPr="00915C7E">
        <w:rPr>
          <w:iCs/>
          <w:sz w:val="20"/>
          <w:lang w:eastAsia="ko-KR"/>
        </w:rPr>
        <w:t>r Measurements</w:t>
      </w:r>
      <w:bookmarkEnd w:id="7"/>
    </w:p>
    <w:p w14:paraId="730B0287" w14:textId="3CC62197" w:rsidR="009421EA" w:rsidRPr="00E5152C" w:rsidRDefault="009421EA" w:rsidP="00FB6F1A">
      <w:pPr>
        <w:pStyle w:val="2222"/>
        <w:numPr>
          <w:ilvl w:val="0"/>
          <w:numId w:val="5"/>
        </w:numPr>
        <w:spacing w:after="120" w:line="288" w:lineRule="auto"/>
        <w:ind w:left="357" w:firstLineChars="0" w:hanging="357"/>
        <w:rPr>
          <w:sz w:val="20"/>
          <w:lang w:val="en-US" w:eastAsia="ko-KR"/>
        </w:rPr>
      </w:pPr>
      <w:bookmarkStart w:id="9" w:name="_Ref528939097"/>
      <w:r w:rsidRPr="00915C7E">
        <w:rPr>
          <w:sz w:val="20"/>
          <w:lang w:val="en-US" w:eastAsia="ko-KR"/>
        </w:rPr>
        <w:t xml:space="preserve">3GPP RAN1, </w:t>
      </w:r>
      <w:r w:rsidRPr="003815FE">
        <w:rPr>
          <w:sz w:val="20"/>
          <w:lang w:val="en-US" w:eastAsia="ko-KR"/>
        </w:rPr>
        <w:t>R1-1</w:t>
      </w:r>
      <w:r w:rsidR="00987F70" w:rsidRPr="003815FE">
        <w:rPr>
          <w:sz w:val="20"/>
          <w:lang w:val="en-US" w:eastAsia="ko-KR"/>
        </w:rPr>
        <w:t>9</w:t>
      </w:r>
      <w:r w:rsidR="00915C7E" w:rsidRPr="003815FE">
        <w:rPr>
          <w:sz w:val="20"/>
          <w:lang w:val="en-US" w:eastAsia="ko-KR"/>
        </w:rPr>
        <w:t>0</w:t>
      </w:r>
      <w:r w:rsidR="00211915" w:rsidRPr="003815FE">
        <w:rPr>
          <w:sz w:val="20"/>
          <w:lang w:val="en-US" w:eastAsia="ko-KR"/>
        </w:rPr>
        <w:t>2315</w:t>
      </w:r>
      <w:r w:rsidRPr="003815FE">
        <w:rPr>
          <w:sz w:val="20"/>
          <w:lang w:val="en-US" w:eastAsia="ko-KR"/>
        </w:rPr>
        <w:t xml:space="preserve">, </w:t>
      </w:r>
      <w:r w:rsidRPr="003815FE">
        <w:rPr>
          <w:rFonts w:cs="Times New Roman"/>
          <w:sz w:val="20"/>
          <w:lang w:val="en-US" w:eastAsia="ko-KR"/>
        </w:rPr>
        <w:t>Samsung</w:t>
      </w:r>
      <w:r w:rsidRPr="009421EA">
        <w:rPr>
          <w:rFonts w:cs="Times New Roman"/>
          <w:sz w:val="20"/>
          <w:lang w:val="en-US" w:eastAsia="ko-KR"/>
        </w:rPr>
        <w:t xml:space="preserve">, </w:t>
      </w:r>
      <w:r w:rsidRPr="009421EA">
        <w:rPr>
          <w:rFonts w:cs="Times New Roman"/>
          <w:sz w:val="20"/>
        </w:rPr>
        <w:t>Evaluation on SINR metrics for beam selection</w:t>
      </w:r>
      <w:bookmarkEnd w:id="9"/>
    </w:p>
    <w:sectPr w:rsidR="009421EA" w:rsidRPr="00E5152C"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29563" w14:textId="77777777" w:rsidR="00FF5D2A" w:rsidRDefault="00FF5D2A">
      <w:r>
        <w:separator/>
      </w:r>
    </w:p>
  </w:endnote>
  <w:endnote w:type="continuationSeparator" w:id="0">
    <w:p w14:paraId="22BBA92D" w14:textId="77777777" w:rsidR="00FF5D2A" w:rsidRDefault="00FF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11987" w14:textId="77777777" w:rsidR="00FF5D2A" w:rsidRDefault="00FF5D2A">
      <w:r>
        <w:separator/>
      </w:r>
    </w:p>
  </w:footnote>
  <w:footnote w:type="continuationSeparator" w:id="0">
    <w:p w14:paraId="5E616A8F" w14:textId="77777777" w:rsidR="00FF5D2A" w:rsidRDefault="00FF5D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88264A" w:rsidRDefault="00882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6540CD"/>
    <w:multiLevelType w:val="hybridMultilevel"/>
    <w:tmpl w:val="634E2F2E"/>
    <w:lvl w:ilvl="0" w:tplc="6A4EBC2C">
      <w:start w:val="5"/>
      <w:numFmt w:val="bullet"/>
      <w:lvlText w:val="-"/>
      <w:lvlJc w:val="left"/>
      <w:pPr>
        <w:ind w:left="816" w:hanging="360"/>
      </w:pPr>
      <w:rPr>
        <w:rFonts w:ascii="Times New Roman" w:eastAsia="Batang" w:hAnsi="Times New Roman" w:cs="Times New Roman"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AE7BBA"/>
    <w:multiLevelType w:val="hybridMultilevel"/>
    <w:tmpl w:val="8E72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FA6830"/>
    <w:multiLevelType w:val="hybridMultilevel"/>
    <w:tmpl w:val="EE027FBE"/>
    <w:lvl w:ilvl="0" w:tplc="6A4EBC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A2B02"/>
    <w:multiLevelType w:val="hybridMultilevel"/>
    <w:tmpl w:val="2B748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E7CE4"/>
    <w:multiLevelType w:val="hybridMultilevel"/>
    <w:tmpl w:val="88F6ABD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6"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CEF5C99"/>
    <w:multiLevelType w:val="hybridMultilevel"/>
    <w:tmpl w:val="4A96B662"/>
    <w:lvl w:ilvl="0" w:tplc="6A0AA338">
      <w:start w:val="1"/>
      <w:numFmt w:val="bullet"/>
      <w:lvlText w:val=""/>
      <w:lvlJc w:val="left"/>
      <w:pPr>
        <w:tabs>
          <w:tab w:val="num" w:pos="720"/>
        </w:tabs>
        <w:ind w:left="720" w:hanging="360"/>
      </w:pPr>
      <w:rPr>
        <w:rFonts w:ascii="Wingdings" w:hAnsi="Wingdings" w:hint="default"/>
      </w:rPr>
    </w:lvl>
    <w:lvl w:ilvl="1" w:tplc="3B7C68DA">
      <w:start w:val="21"/>
      <w:numFmt w:val="bullet"/>
      <w:lvlText w:val="-"/>
      <w:lvlJc w:val="left"/>
      <w:pPr>
        <w:tabs>
          <w:tab w:val="num" w:pos="1440"/>
        </w:tabs>
        <w:ind w:left="1440" w:hanging="360"/>
      </w:pPr>
      <w:rPr>
        <w:rFonts w:ascii="Malgun Gothic" w:hAnsi="Malgun Gothic" w:hint="default"/>
      </w:rPr>
    </w:lvl>
    <w:lvl w:ilvl="2" w:tplc="12FEFF2E">
      <w:start w:val="21"/>
      <w:numFmt w:val="bullet"/>
      <w:lvlText w:val="•"/>
      <w:lvlJc w:val="left"/>
      <w:pPr>
        <w:tabs>
          <w:tab w:val="num" w:pos="2160"/>
        </w:tabs>
        <w:ind w:left="2160" w:hanging="360"/>
      </w:pPr>
      <w:rPr>
        <w:rFonts w:ascii="Arial" w:hAnsi="Arial" w:hint="default"/>
      </w:rPr>
    </w:lvl>
    <w:lvl w:ilvl="3" w:tplc="0FD82A70" w:tentative="1">
      <w:start w:val="1"/>
      <w:numFmt w:val="bullet"/>
      <w:lvlText w:val=""/>
      <w:lvlJc w:val="left"/>
      <w:pPr>
        <w:tabs>
          <w:tab w:val="num" w:pos="2880"/>
        </w:tabs>
        <w:ind w:left="2880" w:hanging="360"/>
      </w:pPr>
      <w:rPr>
        <w:rFonts w:ascii="Wingdings" w:hAnsi="Wingdings" w:hint="default"/>
      </w:rPr>
    </w:lvl>
    <w:lvl w:ilvl="4" w:tplc="975071D6" w:tentative="1">
      <w:start w:val="1"/>
      <w:numFmt w:val="bullet"/>
      <w:lvlText w:val=""/>
      <w:lvlJc w:val="left"/>
      <w:pPr>
        <w:tabs>
          <w:tab w:val="num" w:pos="3600"/>
        </w:tabs>
        <w:ind w:left="3600" w:hanging="360"/>
      </w:pPr>
      <w:rPr>
        <w:rFonts w:ascii="Wingdings" w:hAnsi="Wingdings" w:hint="default"/>
      </w:rPr>
    </w:lvl>
    <w:lvl w:ilvl="5" w:tplc="BC360FCE" w:tentative="1">
      <w:start w:val="1"/>
      <w:numFmt w:val="bullet"/>
      <w:lvlText w:val=""/>
      <w:lvlJc w:val="left"/>
      <w:pPr>
        <w:tabs>
          <w:tab w:val="num" w:pos="4320"/>
        </w:tabs>
        <w:ind w:left="4320" w:hanging="360"/>
      </w:pPr>
      <w:rPr>
        <w:rFonts w:ascii="Wingdings" w:hAnsi="Wingdings" w:hint="default"/>
      </w:rPr>
    </w:lvl>
    <w:lvl w:ilvl="6" w:tplc="A97EB1B6" w:tentative="1">
      <w:start w:val="1"/>
      <w:numFmt w:val="bullet"/>
      <w:lvlText w:val=""/>
      <w:lvlJc w:val="left"/>
      <w:pPr>
        <w:tabs>
          <w:tab w:val="num" w:pos="5040"/>
        </w:tabs>
        <w:ind w:left="5040" w:hanging="360"/>
      </w:pPr>
      <w:rPr>
        <w:rFonts w:ascii="Wingdings" w:hAnsi="Wingdings" w:hint="default"/>
      </w:rPr>
    </w:lvl>
    <w:lvl w:ilvl="7" w:tplc="216466E6" w:tentative="1">
      <w:start w:val="1"/>
      <w:numFmt w:val="bullet"/>
      <w:lvlText w:val=""/>
      <w:lvlJc w:val="left"/>
      <w:pPr>
        <w:tabs>
          <w:tab w:val="num" w:pos="5760"/>
        </w:tabs>
        <w:ind w:left="5760" w:hanging="360"/>
      </w:pPr>
      <w:rPr>
        <w:rFonts w:ascii="Wingdings" w:hAnsi="Wingdings" w:hint="default"/>
      </w:rPr>
    </w:lvl>
    <w:lvl w:ilvl="8" w:tplc="DADE00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C1015"/>
    <w:multiLevelType w:val="hybridMultilevel"/>
    <w:tmpl w:val="72D2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5019ED"/>
    <w:multiLevelType w:val="hybridMultilevel"/>
    <w:tmpl w:val="BB288170"/>
    <w:lvl w:ilvl="0" w:tplc="1CB6F50C">
      <w:start w:val="1"/>
      <w:numFmt w:val="bullet"/>
      <w:lvlText w:val=""/>
      <w:lvlJc w:val="left"/>
      <w:pPr>
        <w:tabs>
          <w:tab w:val="num" w:pos="720"/>
        </w:tabs>
        <w:ind w:left="720" w:hanging="360"/>
      </w:pPr>
      <w:rPr>
        <w:rFonts w:ascii="Wingdings" w:hAnsi="Wingdings" w:hint="default"/>
      </w:rPr>
    </w:lvl>
    <w:lvl w:ilvl="1" w:tplc="926A4F6A">
      <w:start w:val="21"/>
      <w:numFmt w:val="bullet"/>
      <w:lvlText w:val="-"/>
      <w:lvlJc w:val="left"/>
      <w:pPr>
        <w:tabs>
          <w:tab w:val="num" w:pos="1440"/>
        </w:tabs>
        <w:ind w:left="1440" w:hanging="360"/>
      </w:pPr>
      <w:rPr>
        <w:rFonts w:ascii="Malgun Gothic" w:hAnsi="Malgun Gothic" w:hint="default"/>
      </w:rPr>
    </w:lvl>
    <w:lvl w:ilvl="2" w:tplc="1F74F96E">
      <w:start w:val="21"/>
      <w:numFmt w:val="bullet"/>
      <w:lvlText w:val="•"/>
      <w:lvlJc w:val="left"/>
      <w:pPr>
        <w:tabs>
          <w:tab w:val="num" w:pos="2160"/>
        </w:tabs>
        <w:ind w:left="2160" w:hanging="360"/>
      </w:pPr>
      <w:rPr>
        <w:rFonts w:ascii="Arial" w:hAnsi="Arial" w:hint="default"/>
      </w:rPr>
    </w:lvl>
    <w:lvl w:ilvl="3" w:tplc="9488A0E2" w:tentative="1">
      <w:start w:val="1"/>
      <w:numFmt w:val="bullet"/>
      <w:lvlText w:val=""/>
      <w:lvlJc w:val="left"/>
      <w:pPr>
        <w:tabs>
          <w:tab w:val="num" w:pos="2880"/>
        </w:tabs>
        <w:ind w:left="2880" w:hanging="360"/>
      </w:pPr>
      <w:rPr>
        <w:rFonts w:ascii="Wingdings" w:hAnsi="Wingdings" w:hint="default"/>
      </w:rPr>
    </w:lvl>
    <w:lvl w:ilvl="4" w:tplc="8352898C" w:tentative="1">
      <w:start w:val="1"/>
      <w:numFmt w:val="bullet"/>
      <w:lvlText w:val=""/>
      <w:lvlJc w:val="left"/>
      <w:pPr>
        <w:tabs>
          <w:tab w:val="num" w:pos="3600"/>
        </w:tabs>
        <w:ind w:left="3600" w:hanging="360"/>
      </w:pPr>
      <w:rPr>
        <w:rFonts w:ascii="Wingdings" w:hAnsi="Wingdings" w:hint="default"/>
      </w:rPr>
    </w:lvl>
    <w:lvl w:ilvl="5" w:tplc="42FC1418" w:tentative="1">
      <w:start w:val="1"/>
      <w:numFmt w:val="bullet"/>
      <w:lvlText w:val=""/>
      <w:lvlJc w:val="left"/>
      <w:pPr>
        <w:tabs>
          <w:tab w:val="num" w:pos="4320"/>
        </w:tabs>
        <w:ind w:left="4320" w:hanging="360"/>
      </w:pPr>
      <w:rPr>
        <w:rFonts w:ascii="Wingdings" w:hAnsi="Wingdings" w:hint="default"/>
      </w:rPr>
    </w:lvl>
    <w:lvl w:ilvl="6" w:tplc="1FE01E78" w:tentative="1">
      <w:start w:val="1"/>
      <w:numFmt w:val="bullet"/>
      <w:lvlText w:val=""/>
      <w:lvlJc w:val="left"/>
      <w:pPr>
        <w:tabs>
          <w:tab w:val="num" w:pos="5040"/>
        </w:tabs>
        <w:ind w:left="5040" w:hanging="360"/>
      </w:pPr>
      <w:rPr>
        <w:rFonts w:ascii="Wingdings" w:hAnsi="Wingdings" w:hint="default"/>
      </w:rPr>
    </w:lvl>
    <w:lvl w:ilvl="7" w:tplc="498E22D8" w:tentative="1">
      <w:start w:val="1"/>
      <w:numFmt w:val="bullet"/>
      <w:lvlText w:val=""/>
      <w:lvlJc w:val="left"/>
      <w:pPr>
        <w:tabs>
          <w:tab w:val="num" w:pos="5760"/>
        </w:tabs>
        <w:ind w:left="5760" w:hanging="360"/>
      </w:pPr>
      <w:rPr>
        <w:rFonts w:ascii="Wingdings" w:hAnsi="Wingdings" w:hint="default"/>
      </w:rPr>
    </w:lvl>
    <w:lvl w:ilvl="8" w:tplc="3866EAB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8E7DB6"/>
    <w:multiLevelType w:val="hybridMultilevel"/>
    <w:tmpl w:val="186890B8"/>
    <w:lvl w:ilvl="0" w:tplc="48C87B4E">
      <w:start w:val="1"/>
      <w:numFmt w:val="bullet"/>
      <w:lvlText w:val=""/>
      <w:lvlJc w:val="left"/>
      <w:pPr>
        <w:tabs>
          <w:tab w:val="num" w:pos="720"/>
        </w:tabs>
        <w:ind w:left="720" w:hanging="360"/>
      </w:pPr>
      <w:rPr>
        <w:rFonts w:ascii="Wingdings" w:hAnsi="Wingdings" w:hint="default"/>
      </w:rPr>
    </w:lvl>
    <w:lvl w:ilvl="1" w:tplc="DA324E98">
      <w:start w:val="21"/>
      <w:numFmt w:val="bullet"/>
      <w:lvlText w:val="-"/>
      <w:lvlJc w:val="left"/>
      <w:pPr>
        <w:tabs>
          <w:tab w:val="num" w:pos="1440"/>
        </w:tabs>
        <w:ind w:left="1440" w:hanging="360"/>
      </w:pPr>
      <w:rPr>
        <w:rFonts w:ascii="Malgun Gothic" w:hAnsi="Malgun Gothic" w:hint="default"/>
      </w:rPr>
    </w:lvl>
    <w:lvl w:ilvl="2" w:tplc="98D49B4C">
      <w:start w:val="21"/>
      <w:numFmt w:val="bullet"/>
      <w:lvlText w:val="•"/>
      <w:lvlJc w:val="left"/>
      <w:pPr>
        <w:tabs>
          <w:tab w:val="num" w:pos="2160"/>
        </w:tabs>
        <w:ind w:left="2160" w:hanging="360"/>
      </w:pPr>
      <w:rPr>
        <w:rFonts w:ascii="Arial" w:hAnsi="Arial" w:hint="default"/>
      </w:rPr>
    </w:lvl>
    <w:lvl w:ilvl="3" w:tplc="2912EBBE" w:tentative="1">
      <w:start w:val="1"/>
      <w:numFmt w:val="bullet"/>
      <w:lvlText w:val=""/>
      <w:lvlJc w:val="left"/>
      <w:pPr>
        <w:tabs>
          <w:tab w:val="num" w:pos="2880"/>
        </w:tabs>
        <w:ind w:left="2880" w:hanging="360"/>
      </w:pPr>
      <w:rPr>
        <w:rFonts w:ascii="Wingdings" w:hAnsi="Wingdings" w:hint="default"/>
      </w:rPr>
    </w:lvl>
    <w:lvl w:ilvl="4" w:tplc="8F7CE9B4" w:tentative="1">
      <w:start w:val="1"/>
      <w:numFmt w:val="bullet"/>
      <w:lvlText w:val=""/>
      <w:lvlJc w:val="left"/>
      <w:pPr>
        <w:tabs>
          <w:tab w:val="num" w:pos="3600"/>
        </w:tabs>
        <w:ind w:left="3600" w:hanging="360"/>
      </w:pPr>
      <w:rPr>
        <w:rFonts w:ascii="Wingdings" w:hAnsi="Wingdings" w:hint="default"/>
      </w:rPr>
    </w:lvl>
    <w:lvl w:ilvl="5" w:tplc="62A24FD4" w:tentative="1">
      <w:start w:val="1"/>
      <w:numFmt w:val="bullet"/>
      <w:lvlText w:val=""/>
      <w:lvlJc w:val="left"/>
      <w:pPr>
        <w:tabs>
          <w:tab w:val="num" w:pos="4320"/>
        </w:tabs>
        <w:ind w:left="4320" w:hanging="360"/>
      </w:pPr>
      <w:rPr>
        <w:rFonts w:ascii="Wingdings" w:hAnsi="Wingdings" w:hint="default"/>
      </w:rPr>
    </w:lvl>
    <w:lvl w:ilvl="6" w:tplc="F6F6CFB0" w:tentative="1">
      <w:start w:val="1"/>
      <w:numFmt w:val="bullet"/>
      <w:lvlText w:val=""/>
      <w:lvlJc w:val="left"/>
      <w:pPr>
        <w:tabs>
          <w:tab w:val="num" w:pos="5040"/>
        </w:tabs>
        <w:ind w:left="5040" w:hanging="360"/>
      </w:pPr>
      <w:rPr>
        <w:rFonts w:ascii="Wingdings" w:hAnsi="Wingdings" w:hint="default"/>
      </w:rPr>
    </w:lvl>
    <w:lvl w:ilvl="7" w:tplc="375AF126" w:tentative="1">
      <w:start w:val="1"/>
      <w:numFmt w:val="bullet"/>
      <w:lvlText w:val=""/>
      <w:lvlJc w:val="left"/>
      <w:pPr>
        <w:tabs>
          <w:tab w:val="num" w:pos="5760"/>
        </w:tabs>
        <w:ind w:left="5760" w:hanging="360"/>
      </w:pPr>
      <w:rPr>
        <w:rFonts w:ascii="Wingdings" w:hAnsi="Wingdings" w:hint="default"/>
      </w:rPr>
    </w:lvl>
    <w:lvl w:ilvl="8" w:tplc="FE8497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52C54"/>
    <w:multiLevelType w:val="hybridMultilevel"/>
    <w:tmpl w:val="891C7FE6"/>
    <w:lvl w:ilvl="0" w:tplc="1F080044">
      <w:start w:val="1"/>
      <w:numFmt w:val="bullet"/>
      <w:lvlText w:val=""/>
      <w:lvlJc w:val="left"/>
      <w:pPr>
        <w:tabs>
          <w:tab w:val="num" w:pos="720"/>
        </w:tabs>
        <w:ind w:left="720" w:hanging="360"/>
      </w:pPr>
      <w:rPr>
        <w:rFonts w:ascii="Wingdings" w:hAnsi="Wingdings" w:hint="default"/>
      </w:rPr>
    </w:lvl>
    <w:lvl w:ilvl="1" w:tplc="694AB112">
      <w:start w:val="21"/>
      <w:numFmt w:val="bullet"/>
      <w:lvlText w:val="-"/>
      <w:lvlJc w:val="left"/>
      <w:pPr>
        <w:tabs>
          <w:tab w:val="num" w:pos="1440"/>
        </w:tabs>
        <w:ind w:left="1440" w:hanging="360"/>
      </w:pPr>
      <w:rPr>
        <w:rFonts w:ascii="Malgun Gothic" w:hAnsi="Malgun Gothic" w:hint="default"/>
      </w:rPr>
    </w:lvl>
    <w:lvl w:ilvl="2" w:tplc="AEA0D268">
      <w:start w:val="21"/>
      <w:numFmt w:val="bullet"/>
      <w:lvlText w:val="•"/>
      <w:lvlJc w:val="left"/>
      <w:pPr>
        <w:tabs>
          <w:tab w:val="num" w:pos="2160"/>
        </w:tabs>
        <w:ind w:left="2160" w:hanging="360"/>
      </w:pPr>
      <w:rPr>
        <w:rFonts w:ascii="Arial" w:hAnsi="Arial" w:hint="default"/>
      </w:rPr>
    </w:lvl>
    <w:lvl w:ilvl="3" w:tplc="827E99CA" w:tentative="1">
      <w:start w:val="1"/>
      <w:numFmt w:val="bullet"/>
      <w:lvlText w:val=""/>
      <w:lvlJc w:val="left"/>
      <w:pPr>
        <w:tabs>
          <w:tab w:val="num" w:pos="2880"/>
        </w:tabs>
        <w:ind w:left="2880" w:hanging="360"/>
      </w:pPr>
      <w:rPr>
        <w:rFonts w:ascii="Wingdings" w:hAnsi="Wingdings" w:hint="default"/>
      </w:rPr>
    </w:lvl>
    <w:lvl w:ilvl="4" w:tplc="59FEC55C" w:tentative="1">
      <w:start w:val="1"/>
      <w:numFmt w:val="bullet"/>
      <w:lvlText w:val=""/>
      <w:lvlJc w:val="left"/>
      <w:pPr>
        <w:tabs>
          <w:tab w:val="num" w:pos="3600"/>
        </w:tabs>
        <w:ind w:left="3600" w:hanging="360"/>
      </w:pPr>
      <w:rPr>
        <w:rFonts w:ascii="Wingdings" w:hAnsi="Wingdings" w:hint="default"/>
      </w:rPr>
    </w:lvl>
    <w:lvl w:ilvl="5" w:tplc="F298368E" w:tentative="1">
      <w:start w:val="1"/>
      <w:numFmt w:val="bullet"/>
      <w:lvlText w:val=""/>
      <w:lvlJc w:val="left"/>
      <w:pPr>
        <w:tabs>
          <w:tab w:val="num" w:pos="4320"/>
        </w:tabs>
        <w:ind w:left="4320" w:hanging="360"/>
      </w:pPr>
      <w:rPr>
        <w:rFonts w:ascii="Wingdings" w:hAnsi="Wingdings" w:hint="default"/>
      </w:rPr>
    </w:lvl>
    <w:lvl w:ilvl="6" w:tplc="4E6885CA" w:tentative="1">
      <w:start w:val="1"/>
      <w:numFmt w:val="bullet"/>
      <w:lvlText w:val=""/>
      <w:lvlJc w:val="left"/>
      <w:pPr>
        <w:tabs>
          <w:tab w:val="num" w:pos="5040"/>
        </w:tabs>
        <w:ind w:left="5040" w:hanging="360"/>
      </w:pPr>
      <w:rPr>
        <w:rFonts w:ascii="Wingdings" w:hAnsi="Wingdings" w:hint="default"/>
      </w:rPr>
    </w:lvl>
    <w:lvl w:ilvl="7" w:tplc="28D4D9FC" w:tentative="1">
      <w:start w:val="1"/>
      <w:numFmt w:val="bullet"/>
      <w:lvlText w:val=""/>
      <w:lvlJc w:val="left"/>
      <w:pPr>
        <w:tabs>
          <w:tab w:val="num" w:pos="5760"/>
        </w:tabs>
        <w:ind w:left="5760" w:hanging="360"/>
      </w:pPr>
      <w:rPr>
        <w:rFonts w:ascii="Wingdings" w:hAnsi="Wingdings" w:hint="default"/>
      </w:rPr>
    </w:lvl>
    <w:lvl w:ilvl="8" w:tplc="266A1A2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602902"/>
    <w:multiLevelType w:val="hybridMultilevel"/>
    <w:tmpl w:val="BD32B2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3F65654"/>
    <w:multiLevelType w:val="hybridMultilevel"/>
    <w:tmpl w:val="598A5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503BAE"/>
    <w:multiLevelType w:val="hybridMultilevel"/>
    <w:tmpl w:val="7938F3E2"/>
    <w:lvl w:ilvl="0" w:tplc="6A4EBC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0860D6"/>
    <w:multiLevelType w:val="hybridMultilevel"/>
    <w:tmpl w:val="54C4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3771EC"/>
    <w:multiLevelType w:val="hybridMultilevel"/>
    <w:tmpl w:val="9544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174C84"/>
    <w:multiLevelType w:val="hybridMultilevel"/>
    <w:tmpl w:val="721E89D4"/>
    <w:lvl w:ilvl="0" w:tplc="6A4EBC2C">
      <w:start w:val="5"/>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5736A2"/>
    <w:multiLevelType w:val="hybridMultilevel"/>
    <w:tmpl w:val="592C6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FA10AD"/>
    <w:multiLevelType w:val="hybridMultilevel"/>
    <w:tmpl w:val="56EA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2"/>
  </w:num>
  <w:num w:numId="3">
    <w:abstractNumId w:val="29"/>
  </w:num>
  <w:num w:numId="4">
    <w:abstractNumId w:val="41"/>
  </w:num>
  <w:num w:numId="5">
    <w:abstractNumId w:val="3"/>
  </w:num>
  <w:num w:numId="6">
    <w:abstractNumId w:val="1"/>
  </w:num>
  <w:num w:numId="7">
    <w:abstractNumId w:val="34"/>
  </w:num>
  <w:num w:numId="8">
    <w:abstractNumId w:val="37"/>
  </w:num>
  <w:num w:numId="9">
    <w:abstractNumId w:val="13"/>
  </w:num>
  <w:num w:numId="10">
    <w:abstractNumId w:val="2"/>
  </w:num>
  <w:num w:numId="11">
    <w:abstractNumId w:val="39"/>
  </w:num>
  <w:num w:numId="12">
    <w:abstractNumId w:val="36"/>
  </w:num>
  <w:num w:numId="13">
    <w:abstractNumId w:val="25"/>
  </w:num>
  <w:num w:numId="14">
    <w:abstractNumId w:val="9"/>
  </w:num>
  <w:num w:numId="15">
    <w:abstractNumId w:val="15"/>
  </w:num>
  <w:num w:numId="16">
    <w:abstractNumId w:val="5"/>
  </w:num>
  <w:num w:numId="17">
    <w:abstractNumId w:val="16"/>
  </w:num>
  <w:num w:numId="18">
    <w:abstractNumId w:val="24"/>
  </w:num>
  <w:num w:numId="19">
    <w:abstractNumId w:val="28"/>
  </w:num>
  <w:num w:numId="20">
    <w:abstractNumId w:val="14"/>
  </w:num>
  <w:num w:numId="21">
    <w:abstractNumId w:val="7"/>
  </w:num>
  <w:num w:numId="22">
    <w:abstractNumId w:val="22"/>
  </w:num>
  <w:num w:numId="23">
    <w:abstractNumId w:val="23"/>
  </w:num>
  <w:num w:numId="24">
    <w:abstractNumId w:val="18"/>
  </w:num>
  <w:num w:numId="25">
    <w:abstractNumId w:val="21"/>
  </w:num>
  <w:num w:numId="26">
    <w:abstractNumId w:val="8"/>
  </w:num>
  <w:num w:numId="27">
    <w:abstractNumId w:val="17"/>
  </w:num>
  <w:num w:numId="28">
    <w:abstractNumId w:val="0"/>
  </w:num>
  <w:num w:numId="29">
    <w:abstractNumId w:val="31"/>
  </w:num>
  <w:num w:numId="30">
    <w:abstractNumId w:val="35"/>
  </w:num>
  <w:num w:numId="31">
    <w:abstractNumId w:val="26"/>
  </w:num>
  <w:num w:numId="32">
    <w:abstractNumId w:val="30"/>
  </w:num>
  <w:num w:numId="33">
    <w:abstractNumId w:val="19"/>
  </w:num>
  <w:num w:numId="34">
    <w:abstractNumId w:val="11"/>
  </w:num>
  <w:num w:numId="35">
    <w:abstractNumId w:val="38"/>
  </w:num>
  <w:num w:numId="36">
    <w:abstractNumId w:val="20"/>
  </w:num>
  <w:num w:numId="37">
    <w:abstractNumId w:val="33"/>
  </w:num>
  <w:num w:numId="38">
    <w:abstractNumId w:val="40"/>
  </w:num>
  <w:num w:numId="39">
    <w:abstractNumId w:val="10"/>
  </w:num>
  <w:num w:numId="40">
    <w:abstractNumId w:val="32"/>
  </w:num>
  <w:num w:numId="41">
    <w:abstractNumId w:val="27"/>
  </w:num>
  <w:num w:numId="4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7"/>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2C5"/>
    <w:rsid w:val="00030EA3"/>
    <w:rsid w:val="00030EA8"/>
    <w:rsid w:val="000318BB"/>
    <w:rsid w:val="00031E6C"/>
    <w:rsid w:val="00032854"/>
    <w:rsid w:val="00033526"/>
    <w:rsid w:val="00034894"/>
    <w:rsid w:val="00035128"/>
    <w:rsid w:val="00035264"/>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8CA"/>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358"/>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567"/>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194F"/>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50F"/>
    <w:rsid w:val="000C67FA"/>
    <w:rsid w:val="000C6B3D"/>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6F9B"/>
    <w:rsid w:val="000D758A"/>
    <w:rsid w:val="000D77B5"/>
    <w:rsid w:val="000E0BE4"/>
    <w:rsid w:val="000E0E6A"/>
    <w:rsid w:val="000E2177"/>
    <w:rsid w:val="000E2201"/>
    <w:rsid w:val="000E24E6"/>
    <w:rsid w:val="000E255E"/>
    <w:rsid w:val="000E2887"/>
    <w:rsid w:val="000E30B3"/>
    <w:rsid w:val="000E3919"/>
    <w:rsid w:val="000E39C2"/>
    <w:rsid w:val="000E436D"/>
    <w:rsid w:val="000E4574"/>
    <w:rsid w:val="000E4777"/>
    <w:rsid w:val="000E48A4"/>
    <w:rsid w:val="000E4A83"/>
    <w:rsid w:val="000E50E2"/>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4EA2"/>
    <w:rsid w:val="000F5D7C"/>
    <w:rsid w:val="000F5E78"/>
    <w:rsid w:val="000F60C9"/>
    <w:rsid w:val="000F6194"/>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152A"/>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444"/>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6EA1"/>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6C"/>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073"/>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327"/>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1915"/>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6E57"/>
    <w:rsid w:val="002676D3"/>
    <w:rsid w:val="002679C3"/>
    <w:rsid w:val="0027044A"/>
    <w:rsid w:val="0027050B"/>
    <w:rsid w:val="00270ACA"/>
    <w:rsid w:val="00270B63"/>
    <w:rsid w:val="002714B9"/>
    <w:rsid w:val="00271FF9"/>
    <w:rsid w:val="002724C1"/>
    <w:rsid w:val="00272C69"/>
    <w:rsid w:val="00272E51"/>
    <w:rsid w:val="002735B6"/>
    <w:rsid w:val="00273861"/>
    <w:rsid w:val="002738B0"/>
    <w:rsid w:val="002738CD"/>
    <w:rsid w:val="00274128"/>
    <w:rsid w:val="002741D4"/>
    <w:rsid w:val="00274425"/>
    <w:rsid w:val="00274B12"/>
    <w:rsid w:val="00274FC6"/>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4C1"/>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CCF"/>
    <w:rsid w:val="00296E08"/>
    <w:rsid w:val="00296E64"/>
    <w:rsid w:val="00297378"/>
    <w:rsid w:val="00297A85"/>
    <w:rsid w:val="002A0331"/>
    <w:rsid w:val="002A0796"/>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1453"/>
    <w:rsid w:val="002C3193"/>
    <w:rsid w:val="002C35A8"/>
    <w:rsid w:val="002C46A5"/>
    <w:rsid w:val="002C48FC"/>
    <w:rsid w:val="002C5809"/>
    <w:rsid w:val="002C6110"/>
    <w:rsid w:val="002C6B30"/>
    <w:rsid w:val="002C7A4B"/>
    <w:rsid w:val="002C7FC8"/>
    <w:rsid w:val="002D0013"/>
    <w:rsid w:val="002D1647"/>
    <w:rsid w:val="002D1E1E"/>
    <w:rsid w:val="002D1E61"/>
    <w:rsid w:val="002D233C"/>
    <w:rsid w:val="002D2CF6"/>
    <w:rsid w:val="002D2EF7"/>
    <w:rsid w:val="002D3111"/>
    <w:rsid w:val="002D3358"/>
    <w:rsid w:val="002D347D"/>
    <w:rsid w:val="002D3552"/>
    <w:rsid w:val="002D3953"/>
    <w:rsid w:val="002D3C7C"/>
    <w:rsid w:val="002D488B"/>
    <w:rsid w:val="002D4C20"/>
    <w:rsid w:val="002D53AF"/>
    <w:rsid w:val="002D579A"/>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3F46"/>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33"/>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5FE"/>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0D7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3F4"/>
    <w:rsid w:val="003A6643"/>
    <w:rsid w:val="003A71FD"/>
    <w:rsid w:val="003A730C"/>
    <w:rsid w:val="003B097E"/>
    <w:rsid w:val="003B0AC6"/>
    <w:rsid w:val="003B19CA"/>
    <w:rsid w:val="003B1B2E"/>
    <w:rsid w:val="003B226F"/>
    <w:rsid w:val="003B246E"/>
    <w:rsid w:val="003B3296"/>
    <w:rsid w:val="003B33FB"/>
    <w:rsid w:val="003B351F"/>
    <w:rsid w:val="003B36A4"/>
    <w:rsid w:val="003B37A4"/>
    <w:rsid w:val="003B37CB"/>
    <w:rsid w:val="003B3C19"/>
    <w:rsid w:val="003B4B65"/>
    <w:rsid w:val="003B5C14"/>
    <w:rsid w:val="003B6B05"/>
    <w:rsid w:val="003B6E83"/>
    <w:rsid w:val="003B7734"/>
    <w:rsid w:val="003B784F"/>
    <w:rsid w:val="003B7C01"/>
    <w:rsid w:val="003C0353"/>
    <w:rsid w:val="003C0D78"/>
    <w:rsid w:val="003C0E66"/>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675"/>
    <w:rsid w:val="003D0865"/>
    <w:rsid w:val="003D0D0E"/>
    <w:rsid w:val="003D1649"/>
    <w:rsid w:val="003D2E5D"/>
    <w:rsid w:val="003D2FCF"/>
    <w:rsid w:val="003D3265"/>
    <w:rsid w:val="003D3E2E"/>
    <w:rsid w:val="003D43ED"/>
    <w:rsid w:val="003D44EF"/>
    <w:rsid w:val="003D45DC"/>
    <w:rsid w:val="003D4697"/>
    <w:rsid w:val="003D4F3B"/>
    <w:rsid w:val="003D6C9B"/>
    <w:rsid w:val="003D79CD"/>
    <w:rsid w:val="003E079D"/>
    <w:rsid w:val="003E0F86"/>
    <w:rsid w:val="003E0FEE"/>
    <w:rsid w:val="003E1753"/>
    <w:rsid w:val="003E188A"/>
    <w:rsid w:val="003E1A1B"/>
    <w:rsid w:val="003E21C4"/>
    <w:rsid w:val="003E2779"/>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0AC"/>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5328"/>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C40"/>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286"/>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15F"/>
    <w:rsid w:val="004737E8"/>
    <w:rsid w:val="00473944"/>
    <w:rsid w:val="00474060"/>
    <w:rsid w:val="00474B97"/>
    <w:rsid w:val="00474BDC"/>
    <w:rsid w:val="00474D44"/>
    <w:rsid w:val="00474F44"/>
    <w:rsid w:val="0047525B"/>
    <w:rsid w:val="004752E6"/>
    <w:rsid w:val="004761AF"/>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813"/>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12C"/>
    <w:rsid w:val="004C657C"/>
    <w:rsid w:val="004C6F31"/>
    <w:rsid w:val="004C7ECC"/>
    <w:rsid w:val="004D026D"/>
    <w:rsid w:val="004D108A"/>
    <w:rsid w:val="004D159C"/>
    <w:rsid w:val="004D1981"/>
    <w:rsid w:val="004D1EEB"/>
    <w:rsid w:val="004D273C"/>
    <w:rsid w:val="004D318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1C"/>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865"/>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55C"/>
    <w:rsid w:val="00585690"/>
    <w:rsid w:val="00585900"/>
    <w:rsid w:val="00586684"/>
    <w:rsid w:val="00587CDA"/>
    <w:rsid w:val="00587E75"/>
    <w:rsid w:val="00587E7F"/>
    <w:rsid w:val="0059077E"/>
    <w:rsid w:val="00590DDD"/>
    <w:rsid w:val="00590E08"/>
    <w:rsid w:val="00590F33"/>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519D"/>
    <w:rsid w:val="005C5AF9"/>
    <w:rsid w:val="005C5D9C"/>
    <w:rsid w:val="005C6627"/>
    <w:rsid w:val="005C6895"/>
    <w:rsid w:val="005C6EC6"/>
    <w:rsid w:val="005C70AD"/>
    <w:rsid w:val="005C73BA"/>
    <w:rsid w:val="005C7499"/>
    <w:rsid w:val="005C7597"/>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57"/>
    <w:rsid w:val="005E334A"/>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6DAF"/>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5BFC"/>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6E1E"/>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3010"/>
    <w:rsid w:val="006A3A20"/>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4DC0"/>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42F"/>
    <w:rsid w:val="006F6EF9"/>
    <w:rsid w:val="006F7607"/>
    <w:rsid w:val="006F79E1"/>
    <w:rsid w:val="006F7BCF"/>
    <w:rsid w:val="0070057C"/>
    <w:rsid w:val="0070274F"/>
    <w:rsid w:val="0070326A"/>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726"/>
    <w:rsid w:val="0071081E"/>
    <w:rsid w:val="00710B21"/>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700"/>
    <w:rsid w:val="00725960"/>
    <w:rsid w:val="00727282"/>
    <w:rsid w:val="00727707"/>
    <w:rsid w:val="007302D0"/>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28F"/>
    <w:rsid w:val="007418C1"/>
    <w:rsid w:val="00741A37"/>
    <w:rsid w:val="00741B82"/>
    <w:rsid w:val="007432BF"/>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0AB"/>
    <w:rsid w:val="00775996"/>
    <w:rsid w:val="00775DF0"/>
    <w:rsid w:val="0077688F"/>
    <w:rsid w:val="007769B3"/>
    <w:rsid w:val="00776D43"/>
    <w:rsid w:val="00776D92"/>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5E76"/>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12EA"/>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079"/>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AE3"/>
    <w:rsid w:val="007F2E29"/>
    <w:rsid w:val="007F3BEB"/>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1C29"/>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51"/>
    <w:rsid w:val="008340EF"/>
    <w:rsid w:val="00834278"/>
    <w:rsid w:val="008348F8"/>
    <w:rsid w:val="00834E69"/>
    <w:rsid w:val="008353DB"/>
    <w:rsid w:val="00835CD4"/>
    <w:rsid w:val="0083669C"/>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44"/>
    <w:rsid w:val="00885D8B"/>
    <w:rsid w:val="00885DF4"/>
    <w:rsid w:val="00886398"/>
    <w:rsid w:val="00886943"/>
    <w:rsid w:val="008869C5"/>
    <w:rsid w:val="00887406"/>
    <w:rsid w:val="008876A1"/>
    <w:rsid w:val="008903AE"/>
    <w:rsid w:val="00891393"/>
    <w:rsid w:val="00891CA3"/>
    <w:rsid w:val="00891D7B"/>
    <w:rsid w:val="00892EF8"/>
    <w:rsid w:val="00893197"/>
    <w:rsid w:val="008931E8"/>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6ED3"/>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543"/>
    <w:rsid w:val="008E0653"/>
    <w:rsid w:val="008E1091"/>
    <w:rsid w:val="008E146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5C7E"/>
    <w:rsid w:val="009161FF"/>
    <w:rsid w:val="00916D0D"/>
    <w:rsid w:val="009170D7"/>
    <w:rsid w:val="0091722F"/>
    <w:rsid w:val="00917BD8"/>
    <w:rsid w:val="00917D06"/>
    <w:rsid w:val="0092003A"/>
    <w:rsid w:val="00920696"/>
    <w:rsid w:val="009215B6"/>
    <w:rsid w:val="00921C94"/>
    <w:rsid w:val="00921C98"/>
    <w:rsid w:val="0092441A"/>
    <w:rsid w:val="00924784"/>
    <w:rsid w:val="00924D90"/>
    <w:rsid w:val="00924FF6"/>
    <w:rsid w:val="00925017"/>
    <w:rsid w:val="009250C9"/>
    <w:rsid w:val="0092530C"/>
    <w:rsid w:val="0092567C"/>
    <w:rsid w:val="00926844"/>
    <w:rsid w:val="009276B6"/>
    <w:rsid w:val="0093034C"/>
    <w:rsid w:val="00931412"/>
    <w:rsid w:val="009315B1"/>
    <w:rsid w:val="009316C8"/>
    <w:rsid w:val="00931A0D"/>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1EA"/>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57DBD"/>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2CE"/>
    <w:rsid w:val="00974F34"/>
    <w:rsid w:val="0097584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87F70"/>
    <w:rsid w:val="00990DD9"/>
    <w:rsid w:val="00991268"/>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509"/>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1B6D"/>
    <w:rsid w:val="009C27D6"/>
    <w:rsid w:val="009C2DD9"/>
    <w:rsid w:val="009C30D9"/>
    <w:rsid w:val="009C3A0D"/>
    <w:rsid w:val="009C43E2"/>
    <w:rsid w:val="009C4D18"/>
    <w:rsid w:val="009C4F55"/>
    <w:rsid w:val="009C587C"/>
    <w:rsid w:val="009C5FD3"/>
    <w:rsid w:val="009C614B"/>
    <w:rsid w:val="009C6171"/>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396"/>
    <w:rsid w:val="009F5738"/>
    <w:rsid w:val="009F59A7"/>
    <w:rsid w:val="009F5B4F"/>
    <w:rsid w:val="009F64CD"/>
    <w:rsid w:val="009F6A3E"/>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5E28"/>
    <w:rsid w:val="00A36086"/>
    <w:rsid w:val="00A36660"/>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BEE"/>
    <w:rsid w:val="00A91D0E"/>
    <w:rsid w:val="00A930E9"/>
    <w:rsid w:val="00A932AF"/>
    <w:rsid w:val="00A93398"/>
    <w:rsid w:val="00A94031"/>
    <w:rsid w:val="00A9473E"/>
    <w:rsid w:val="00A94CF8"/>
    <w:rsid w:val="00A950B4"/>
    <w:rsid w:val="00A9571F"/>
    <w:rsid w:val="00A95DC5"/>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85E"/>
    <w:rsid w:val="00AB5B6D"/>
    <w:rsid w:val="00AB6015"/>
    <w:rsid w:val="00AB63F6"/>
    <w:rsid w:val="00AB6593"/>
    <w:rsid w:val="00AB6A6C"/>
    <w:rsid w:val="00AB6DF8"/>
    <w:rsid w:val="00AB7539"/>
    <w:rsid w:val="00AB77DC"/>
    <w:rsid w:val="00AB7B4F"/>
    <w:rsid w:val="00AC0314"/>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D75"/>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2C9"/>
    <w:rsid w:val="00B0337A"/>
    <w:rsid w:val="00B04469"/>
    <w:rsid w:val="00B04503"/>
    <w:rsid w:val="00B051C0"/>
    <w:rsid w:val="00B0520C"/>
    <w:rsid w:val="00B0562E"/>
    <w:rsid w:val="00B058D3"/>
    <w:rsid w:val="00B0624A"/>
    <w:rsid w:val="00B06912"/>
    <w:rsid w:val="00B074DA"/>
    <w:rsid w:val="00B07558"/>
    <w:rsid w:val="00B076E9"/>
    <w:rsid w:val="00B10114"/>
    <w:rsid w:val="00B1036F"/>
    <w:rsid w:val="00B1076F"/>
    <w:rsid w:val="00B10EBC"/>
    <w:rsid w:val="00B12C3B"/>
    <w:rsid w:val="00B12CB3"/>
    <w:rsid w:val="00B12EF7"/>
    <w:rsid w:val="00B13108"/>
    <w:rsid w:val="00B1388E"/>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50FD"/>
    <w:rsid w:val="00B2598F"/>
    <w:rsid w:val="00B25B26"/>
    <w:rsid w:val="00B26088"/>
    <w:rsid w:val="00B2681C"/>
    <w:rsid w:val="00B27364"/>
    <w:rsid w:val="00B273A8"/>
    <w:rsid w:val="00B27992"/>
    <w:rsid w:val="00B3014E"/>
    <w:rsid w:val="00B3072D"/>
    <w:rsid w:val="00B30B75"/>
    <w:rsid w:val="00B30D92"/>
    <w:rsid w:val="00B30FAF"/>
    <w:rsid w:val="00B32391"/>
    <w:rsid w:val="00B32467"/>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3174"/>
    <w:rsid w:val="00B432B3"/>
    <w:rsid w:val="00B4397A"/>
    <w:rsid w:val="00B43CC6"/>
    <w:rsid w:val="00B45857"/>
    <w:rsid w:val="00B45E3F"/>
    <w:rsid w:val="00B45F80"/>
    <w:rsid w:val="00B464B3"/>
    <w:rsid w:val="00B471C4"/>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4C3"/>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5F49"/>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6E9D"/>
    <w:rsid w:val="00BA75B4"/>
    <w:rsid w:val="00BA7BE0"/>
    <w:rsid w:val="00BB0244"/>
    <w:rsid w:val="00BB137B"/>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6EA0"/>
    <w:rsid w:val="00BB7280"/>
    <w:rsid w:val="00BB7474"/>
    <w:rsid w:val="00BB747A"/>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1DA8"/>
    <w:rsid w:val="00BD215F"/>
    <w:rsid w:val="00BD24E3"/>
    <w:rsid w:val="00BD2853"/>
    <w:rsid w:val="00BD28B0"/>
    <w:rsid w:val="00BD33B2"/>
    <w:rsid w:val="00BD4462"/>
    <w:rsid w:val="00BD4DE2"/>
    <w:rsid w:val="00BD6006"/>
    <w:rsid w:val="00BD66E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81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6C3"/>
    <w:rsid w:val="00C20C78"/>
    <w:rsid w:val="00C215D0"/>
    <w:rsid w:val="00C21F32"/>
    <w:rsid w:val="00C22294"/>
    <w:rsid w:val="00C228AD"/>
    <w:rsid w:val="00C232F1"/>
    <w:rsid w:val="00C23485"/>
    <w:rsid w:val="00C23C48"/>
    <w:rsid w:val="00C24028"/>
    <w:rsid w:val="00C244F9"/>
    <w:rsid w:val="00C24A6B"/>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97C"/>
    <w:rsid w:val="00C41A1D"/>
    <w:rsid w:val="00C41AA0"/>
    <w:rsid w:val="00C42505"/>
    <w:rsid w:val="00C42DF0"/>
    <w:rsid w:val="00C42ED0"/>
    <w:rsid w:val="00C43373"/>
    <w:rsid w:val="00C4356A"/>
    <w:rsid w:val="00C43CDE"/>
    <w:rsid w:val="00C446B4"/>
    <w:rsid w:val="00C44D97"/>
    <w:rsid w:val="00C45CFA"/>
    <w:rsid w:val="00C45E6D"/>
    <w:rsid w:val="00C47044"/>
    <w:rsid w:val="00C47B87"/>
    <w:rsid w:val="00C47F78"/>
    <w:rsid w:val="00C50936"/>
    <w:rsid w:val="00C511E0"/>
    <w:rsid w:val="00C52045"/>
    <w:rsid w:val="00C538D5"/>
    <w:rsid w:val="00C53A87"/>
    <w:rsid w:val="00C53AFD"/>
    <w:rsid w:val="00C53D48"/>
    <w:rsid w:val="00C53E69"/>
    <w:rsid w:val="00C543CC"/>
    <w:rsid w:val="00C54940"/>
    <w:rsid w:val="00C551A9"/>
    <w:rsid w:val="00C55311"/>
    <w:rsid w:val="00C55529"/>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779B3"/>
    <w:rsid w:val="00C80084"/>
    <w:rsid w:val="00C8017E"/>
    <w:rsid w:val="00C80395"/>
    <w:rsid w:val="00C8049E"/>
    <w:rsid w:val="00C81083"/>
    <w:rsid w:val="00C810BC"/>
    <w:rsid w:val="00C81597"/>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87FE6"/>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312"/>
    <w:rsid w:val="00CC0768"/>
    <w:rsid w:val="00CC0A69"/>
    <w:rsid w:val="00CC109A"/>
    <w:rsid w:val="00CC1534"/>
    <w:rsid w:val="00CC18C9"/>
    <w:rsid w:val="00CC1C23"/>
    <w:rsid w:val="00CC2073"/>
    <w:rsid w:val="00CC2673"/>
    <w:rsid w:val="00CC27A1"/>
    <w:rsid w:val="00CC29CE"/>
    <w:rsid w:val="00CC2EC6"/>
    <w:rsid w:val="00CC3E47"/>
    <w:rsid w:val="00CC3F6E"/>
    <w:rsid w:val="00CC410A"/>
    <w:rsid w:val="00CC423C"/>
    <w:rsid w:val="00CC4358"/>
    <w:rsid w:val="00CC4E0F"/>
    <w:rsid w:val="00CC5693"/>
    <w:rsid w:val="00CC5B79"/>
    <w:rsid w:val="00CC5DFD"/>
    <w:rsid w:val="00CC62A8"/>
    <w:rsid w:val="00CC6844"/>
    <w:rsid w:val="00CC7705"/>
    <w:rsid w:val="00CC7BE5"/>
    <w:rsid w:val="00CC7C74"/>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83C"/>
    <w:rsid w:val="00CE0AAA"/>
    <w:rsid w:val="00CE0ED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51E"/>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7F3"/>
    <w:rsid w:val="00CF6AD3"/>
    <w:rsid w:val="00CF7537"/>
    <w:rsid w:val="00CF7C58"/>
    <w:rsid w:val="00D01289"/>
    <w:rsid w:val="00D017CD"/>
    <w:rsid w:val="00D01BE0"/>
    <w:rsid w:val="00D02598"/>
    <w:rsid w:val="00D02C34"/>
    <w:rsid w:val="00D03251"/>
    <w:rsid w:val="00D039ED"/>
    <w:rsid w:val="00D03B14"/>
    <w:rsid w:val="00D03BEA"/>
    <w:rsid w:val="00D04CD2"/>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03B"/>
    <w:rsid w:val="00D3343F"/>
    <w:rsid w:val="00D33ACD"/>
    <w:rsid w:val="00D33CD0"/>
    <w:rsid w:val="00D345C3"/>
    <w:rsid w:val="00D348E4"/>
    <w:rsid w:val="00D35BDE"/>
    <w:rsid w:val="00D36A2A"/>
    <w:rsid w:val="00D37E5E"/>
    <w:rsid w:val="00D4063E"/>
    <w:rsid w:val="00D40DAB"/>
    <w:rsid w:val="00D4100F"/>
    <w:rsid w:val="00D42814"/>
    <w:rsid w:val="00D42A9C"/>
    <w:rsid w:val="00D42B18"/>
    <w:rsid w:val="00D43106"/>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594"/>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A77DA"/>
    <w:rsid w:val="00DB102D"/>
    <w:rsid w:val="00DB11AA"/>
    <w:rsid w:val="00DB14D9"/>
    <w:rsid w:val="00DB16F1"/>
    <w:rsid w:val="00DB1F24"/>
    <w:rsid w:val="00DB20BE"/>
    <w:rsid w:val="00DB28FF"/>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A9D"/>
    <w:rsid w:val="00DC4E80"/>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DF7E63"/>
    <w:rsid w:val="00E007C7"/>
    <w:rsid w:val="00E009AC"/>
    <w:rsid w:val="00E010AA"/>
    <w:rsid w:val="00E016D7"/>
    <w:rsid w:val="00E02349"/>
    <w:rsid w:val="00E02D47"/>
    <w:rsid w:val="00E052E0"/>
    <w:rsid w:val="00E05B60"/>
    <w:rsid w:val="00E063DF"/>
    <w:rsid w:val="00E069AF"/>
    <w:rsid w:val="00E07A07"/>
    <w:rsid w:val="00E100BC"/>
    <w:rsid w:val="00E107D9"/>
    <w:rsid w:val="00E10A0F"/>
    <w:rsid w:val="00E10B6A"/>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20F3"/>
    <w:rsid w:val="00E3309A"/>
    <w:rsid w:val="00E3384C"/>
    <w:rsid w:val="00E34E86"/>
    <w:rsid w:val="00E353EA"/>
    <w:rsid w:val="00E35478"/>
    <w:rsid w:val="00E359CA"/>
    <w:rsid w:val="00E35AE8"/>
    <w:rsid w:val="00E36145"/>
    <w:rsid w:val="00E3673D"/>
    <w:rsid w:val="00E369F6"/>
    <w:rsid w:val="00E377B9"/>
    <w:rsid w:val="00E40049"/>
    <w:rsid w:val="00E41835"/>
    <w:rsid w:val="00E42776"/>
    <w:rsid w:val="00E4454D"/>
    <w:rsid w:val="00E44BBA"/>
    <w:rsid w:val="00E45231"/>
    <w:rsid w:val="00E45DD4"/>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ADE"/>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73"/>
    <w:rsid w:val="00E75AF8"/>
    <w:rsid w:val="00E769AD"/>
    <w:rsid w:val="00E76B97"/>
    <w:rsid w:val="00E76C10"/>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AA9"/>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0D4"/>
    <w:rsid w:val="00EA0256"/>
    <w:rsid w:val="00EA0E61"/>
    <w:rsid w:val="00EA1043"/>
    <w:rsid w:val="00EA135B"/>
    <w:rsid w:val="00EA156A"/>
    <w:rsid w:val="00EA15EC"/>
    <w:rsid w:val="00EA1AA0"/>
    <w:rsid w:val="00EA1E56"/>
    <w:rsid w:val="00EA2847"/>
    <w:rsid w:val="00EA2C52"/>
    <w:rsid w:val="00EA2E9C"/>
    <w:rsid w:val="00EA31A5"/>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A0"/>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348"/>
    <w:rsid w:val="00EC1B2D"/>
    <w:rsid w:val="00EC1D3E"/>
    <w:rsid w:val="00EC1E1B"/>
    <w:rsid w:val="00EC2504"/>
    <w:rsid w:val="00EC317B"/>
    <w:rsid w:val="00EC4AF7"/>
    <w:rsid w:val="00EC4BE7"/>
    <w:rsid w:val="00EC500C"/>
    <w:rsid w:val="00EC5455"/>
    <w:rsid w:val="00EC5C48"/>
    <w:rsid w:val="00EC60F2"/>
    <w:rsid w:val="00EC61A5"/>
    <w:rsid w:val="00EC68D6"/>
    <w:rsid w:val="00EC6925"/>
    <w:rsid w:val="00EC782F"/>
    <w:rsid w:val="00EC792E"/>
    <w:rsid w:val="00EC7B9A"/>
    <w:rsid w:val="00EC7D22"/>
    <w:rsid w:val="00ED0053"/>
    <w:rsid w:val="00ED00DE"/>
    <w:rsid w:val="00ED048F"/>
    <w:rsid w:val="00ED0898"/>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21E2"/>
    <w:rsid w:val="00EF2C8E"/>
    <w:rsid w:val="00EF2D06"/>
    <w:rsid w:val="00EF2E76"/>
    <w:rsid w:val="00EF2F98"/>
    <w:rsid w:val="00EF2FD2"/>
    <w:rsid w:val="00EF393C"/>
    <w:rsid w:val="00EF3BDE"/>
    <w:rsid w:val="00EF3EF0"/>
    <w:rsid w:val="00EF3F85"/>
    <w:rsid w:val="00EF4107"/>
    <w:rsid w:val="00EF4FCA"/>
    <w:rsid w:val="00EF55E5"/>
    <w:rsid w:val="00EF57AE"/>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904"/>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3AE5"/>
    <w:rsid w:val="00F44E93"/>
    <w:rsid w:val="00F45325"/>
    <w:rsid w:val="00F45E58"/>
    <w:rsid w:val="00F46173"/>
    <w:rsid w:val="00F46511"/>
    <w:rsid w:val="00F467AA"/>
    <w:rsid w:val="00F46E4E"/>
    <w:rsid w:val="00F47ABE"/>
    <w:rsid w:val="00F50EF1"/>
    <w:rsid w:val="00F5135C"/>
    <w:rsid w:val="00F51840"/>
    <w:rsid w:val="00F51F59"/>
    <w:rsid w:val="00F5250E"/>
    <w:rsid w:val="00F52669"/>
    <w:rsid w:val="00F52AA1"/>
    <w:rsid w:val="00F52ECF"/>
    <w:rsid w:val="00F53548"/>
    <w:rsid w:val="00F5403E"/>
    <w:rsid w:val="00F5478F"/>
    <w:rsid w:val="00F55089"/>
    <w:rsid w:val="00F56272"/>
    <w:rsid w:val="00F56484"/>
    <w:rsid w:val="00F5684A"/>
    <w:rsid w:val="00F56C05"/>
    <w:rsid w:val="00F56E59"/>
    <w:rsid w:val="00F57717"/>
    <w:rsid w:val="00F57B44"/>
    <w:rsid w:val="00F600B0"/>
    <w:rsid w:val="00F61161"/>
    <w:rsid w:val="00F6182E"/>
    <w:rsid w:val="00F62214"/>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589"/>
    <w:rsid w:val="00F67972"/>
    <w:rsid w:val="00F67C23"/>
    <w:rsid w:val="00F70310"/>
    <w:rsid w:val="00F70F9C"/>
    <w:rsid w:val="00F71912"/>
    <w:rsid w:val="00F721D3"/>
    <w:rsid w:val="00F7234A"/>
    <w:rsid w:val="00F7264A"/>
    <w:rsid w:val="00F72BD6"/>
    <w:rsid w:val="00F72C30"/>
    <w:rsid w:val="00F72D8A"/>
    <w:rsid w:val="00F73181"/>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49BE"/>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6E3"/>
    <w:rsid w:val="00FC28D7"/>
    <w:rsid w:val="00FC2BA3"/>
    <w:rsid w:val="00FC33F8"/>
    <w:rsid w:val="00FC4126"/>
    <w:rsid w:val="00FC49F8"/>
    <w:rsid w:val="00FC4C2E"/>
    <w:rsid w:val="00FC5672"/>
    <w:rsid w:val="00FC66FC"/>
    <w:rsid w:val="00FC6C75"/>
    <w:rsid w:val="00FC718B"/>
    <w:rsid w:val="00FC71D7"/>
    <w:rsid w:val="00FC79E0"/>
    <w:rsid w:val="00FC7BDE"/>
    <w:rsid w:val="00FD0D5B"/>
    <w:rsid w:val="00FD1195"/>
    <w:rsid w:val="00FD194D"/>
    <w:rsid w:val="00FD204F"/>
    <w:rsid w:val="00FD20C1"/>
    <w:rsid w:val="00FD2879"/>
    <w:rsid w:val="00FD29A2"/>
    <w:rsid w:val="00FD30C2"/>
    <w:rsid w:val="00FD3250"/>
    <w:rsid w:val="00FD33B5"/>
    <w:rsid w:val="00FD3B17"/>
    <w:rsid w:val="00FD3BD9"/>
    <w:rsid w:val="00FD3C06"/>
    <w:rsid w:val="00FD402B"/>
    <w:rsid w:val="00FD4172"/>
    <w:rsid w:val="00FD4599"/>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B4C"/>
    <w:rsid w:val="00FF5D2A"/>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Normal"/>
    <w:link w:val="LGTdocChar"/>
    <w:qFormat/>
    <w:rsid w:val="00BB747A"/>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BB747A"/>
    <w:rPr>
      <w:kern w:val="2"/>
      <w:sz w:val="22"/>
      <w:szCs w:val="24"/>
      <w:lang w:val="en-GB"/>
    </w:rPr>
  </w:style>
  <w:style w:type="character" w:customStyle="1" w:styleId="TALChar">
    <w:name w:val="TAL Char"/>
    <w:link w:val="TAL"/>
    <w:rsid w:val="00CF67F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48106610">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7331124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2E087-29B0-4D97-9A47-1526496CA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13217</TotalTime>
  <Pages>9</Pages>
  <Words>3874</Words>
  <Characters>22084</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281</cp:revision>
  <cp:lastPrinted>2017-03-24T06:34:00Z</cp:lastPrinted>
  <dcterms:created xsi:type="dcterms:W3CDTF">2018-08-10T16:01:00Z</dcterms:created>
  <dcterms:modified xsi:type="dcterms:W3CDTF">2019-02-15T00:34:00Z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